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Standard"/>
        <w:spacing w:lineRule="auto" w:line="276"/>
        <w:rPr>
          <w:rFonts w:ascii="Arial" w:hAnsi="Arial"/>
        </w:rPr>
      </w:pPr>
      <w:r>
        <w:rPr>
          <w:rFonts w:eastAsia="Arial" w:cs="Arial" w:ascii="Arial" w:hAnsi="Arial"/>
          <w:b/>
        </w:rPr>
        <w:t xml:space="preserve">Zapytanie ofertowe </w:t>
      </w:r>
    </w:p>
    <w:p>
      <w:pPr>
        <w:pStyle w:val="Standard"/>
        <w:spacing w:lineRule="auto" w:line="276"/>
        <w:rPr>
          <w:rFonts w:eastAsia="Arial" w:cs="Arial"/>
          <w:b/>
        </w:rPr>
      </w:pPr>
      <w:r>
        <w:rPr>
          <w:rFonts w:eastAsia="Arial" w:cs="Arial"/>
          <w:b/>
        </w:rPr>
      </w:r>
    </w:p>
    <w:p>
      <w:pPr>
        <w:pStyle w:val="Standard"/>
        <w:spacing w:lineRule="auto" w:line="276"/>
        <w:rPr>
          <w:rFonts w:ascii="Arial" w:hAnsi="Arial"/>
        </w:rPr>
      </w:pPr>
      <w:r>
        <w:rPr>
          <w:rFonts w:eastAsia="Arial" w:cs="Arial" w:ascii="Arial" w:hAnsi="Arial"/>
        </w:rPr>
        <w:t>Dostawa pomocy dydaktycznych w ramach realizowanego projektu „Mała szkoła kluczem do przyszłości” współfinansowanego ze środków Europejskiego Funduszu Społecznego Plus w Szkole Podstawowej Integracyjnej nr 8 w Sieradzu.</w:t>
      </w:r>
    </w:p>
    <w:p>
      <w:pPr>
        <w:pStyle w:val="Standard"/>
        <w:spacing w:lineRule="auto" w:line="276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numPr>
          <w:ilvl w:val="0"/>
          <w:numId w:val="2"/>
        </w:numPr>
        <w:spacing w:before="0" w:after="0"/>
        <w:ind w:hanging="360" w:start="72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Postępowanie nie jest prowadzone w oparciu o przepisy ustawy z dnia 11 września 2019 r. Prawo zamówień publicznych.</w:t>
      </w:r>
    </w:p>
    <w:p>
      <w:pPr>
        <w:pStyle w:val="Standard"/>
        <w:spacing w:lineRule="auto" w:line="276"/>
        <w:ind w:start="720"/>
        <w:rPr>
          <w:rFonts w:ascii="Arial" w:hAnsi="Arial"/>
        </w:rPr>
      </w:pPr>
      <w:r>
        <w:rPr>
          <w:rFonts w:eastAsia="Arial" w:cs="Arial" w:ascii="Arial" w:hAnsi="Arial"/>
          <w:color w:val="000000"/>
        </w:rPr>
        <w:t>Postępowanie jest prowadzone zgodnie z zasadą konkurencyjności, zgodnie  z aktualnie obowiązującymi Wytycznymi dotyczącymi kwalifikowalności wydatków na lata 2021 – 2027.</w:t>
      </w:r>
    </w:p>
    <w:p>
      <w:pPr>
        <w:pStyle w:val="Standard"/>
        <w:spacing w:lineRule="auto" w:line="276"/>
        <w:ind w:start="720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</w:r>
    </w:p>
    <w:p>
      <w:pPr>
        <w:pStyle w:val="Standard"/>
        <w:numPr>
          <w:ilvl w:val="0"/>
          <w:numId w:val="2"/>
        </w:numPr>
        <w:spacing w:lineRule="auto" w:line="276"/>
        <w:ind w:hanging="360" w:start="720"/>
        <w:rPr/>
      </w:pPr>
      <w:r>
        <w:rPr>
          <w:rStyle w:val="Hyperlink"/>
          <w:rFonts w:eastAsia="Arial" w:cs="Arial" w:ascii="Arial" w:hAnsi="Arial"/>
          <w:b/>
          <w:bCs/>
          <w:color w:val="auto"/>
          <w:u w:val="none" w:color="FFFFFF"/>
        </w:rPr>
        <w:t xml:space="preserve">Zamawiający </w:t>
      </w:r>
    </w:p>
    <w:p>
      <w:pPr>
        <w:pStyle w:val="Normal"/>
        <w:spacing w:lineRule="auto" w:line="240" w:before="0" w:after="0"/>
        <w:ind w:start="7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Gmina Miasto Sieradz</w:t>
      </w:r>
    </w:p>
    <w:p>
      <w:pPr>
        <w:pStyle w:val="Normal"/>
        <w:spacing w:lineRule="auto" w:line="240" w:before="0" w:after="0"/>
        <w:ind w:start="7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Szkoła Podstawowa Integracyjna nr 8 </w:t>
      </w:r>
    </w:p>
    <w:p>
      <w:pPr>
        <w:pStyle w:val="Normal"/>
        <w:spacing w:lineRule="auto" w:line="240" w:before="0" w:after="0"/>
        <w:ind w:start="7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ul. Szlachecka 11</w:t>
      </w:r>
    </w:p>
    <w:p>
      <w:pPr>
        <w:pStyle w:val="Normal"/>
        <w:spacing w:lineRule="auto" w:line="240" w:before="0" w:after="0"/>
        <w:ind w:start="737"/>
        <w:rPr/>
      </w:pPr>
      <w:r>
        <w:rPr>
          <w:rStyle w:val="Hyperlink"/>
          <w:rFonts w:eastAsia="Arial" w:ascii="Arial" w:hAnsi="Arial"/>
          <w:color w:val="auto"/>
          <w:sz w:val="22"/>
          <w:szCs w:val="22"/>
          <w:u w:val="none" w:color="FFFFFF"/>
        </w:rPr>
        <w:t>98-200 Sieradz</w:t>
      </w:r>
    </w:p>
    <w:p>
      <w:pPr>
        <w:pStyle w:val="Normal"/>
        <w:spacing w:lineRule="auto" w:line="240" w:before="0" w:after="0"/>
        <w:ind w:start="737"/>
        <w:rPr>
          <w:rFonts w:ascii="Arial" w:hAnsi="Arial" w:eastAsia="Arial"/>
          <w:sz w:val="22"/>
          <w:szCs w:val="22"/>
        </w:rPr>
      </w:pPr>
      <w:r>
        <w:rPr>
          <w:rFonts w:eastAsia="Arial" w:ascii="Arial" w:hAnsi="Arial"/>
          <w:sz w:val="22"/>
          <w:szCs w:val="22"/>
        </w:rPr>
      </w:r>
    </w:p>
    <w:p>
      <w:pPr>
        <w:pStyle w:val="Standard"/>
        <w:numPr>
          <w:ilvl w:val="0"/>
          <w:numId w:val="2"/>
        </w:numPr>
        <w:spacing w:lineRule="auto" w:line="276"/>
        <w:ind w:hanging="360" w:start="720"/>
        <w:rPr/>
      </w:pPr>
      <w:r>
        <w:rPr>
          <w:rStyle w:val="Hyperlink"/>
          <w:rFonts w:eastAsia="Arial" w:cs="Arial" w:ascii="Arial" w:hAnsi="Arial"/>
          <w:b/>
          <w:bCs/>
          <w:color w:val="auto"/>
          <w:u w:val="none" w:color="FFFFFF"/>
        </w:rPr>
        <w:t>Forma komunikacji</w:t>
      </w:r>
    </w:p>
    <w:p>
      <w:pPr>
        <w:pStyle w:val="Standard"/>
        <w:spacing w:lineRule="auto" w:line="276"/>
        <w:ind w:start="720"/>
        <w:rPr/>
      </w:pPr>
      <w:r>
        <w:rPr>
          <w:rStyle w:val="Hyperlink"/>
          <w:rFonts w:eastAsia="Arial" w:cs="Arial" w:ascii="Arial" w:hAnsi="Arial"/>
          <w:color w:val="auto"/>
          <w:u w:val="none" w:color="FFFFFF"/>
        </w:rPr>
        <w:t xml:space="preserve">Komunikacja w postępowaniu o udzielenie zamówienia odbywa się za pomocą bazy konkurencyjności. </w:t>
      </w:r>
    </w:p>
    <w:p>
      <w:pPr>
        <w:pStyle w:val="Standard"/>
        <w:spacing w:lineRule="auto" w:line="276"/>
        <w:ind w:start="720"/>
        <w:rPr>
          <w:rFonts w:ascii="Arial" w:hAnsi="Arial" w:eastAsia="Arial" w:cs="Arial"/>
          <w:color w:val="000000"/>
        </w:rPr>
      </w:pPr>
      <w:r>
        <w:rPr>
          <w:rFonts w:eastAsia="Arial" w:cs="Arial" w:ascii="Arial" w:hAnsi="Arial"/>
          <w:color w:val="000000"/>
        </w:rPr>
      </w:r>
    </w:p>
    <w:p>
      <w:pPr>
        <w:pStyle w:val="Standard"/>
        <w:numPr>
          <w:ilvl w:val="0"/>
          <w:numId w:val="2"/>
        </w:numPr>
        <w:spacing w:lineRule="auto" w:line="276"/>
        <w:ind w:hanging="360" w:start="720"/>
        <w:rPr>
          <w:rFonts w:ascii="Arial" w:hAnsi="Arial"/>
        </w:rPr>
      </w:pPr>
      <w:r>
        <w:rPr>
          <w:rFonts w:eastAsia="Arial" w:cs="Arial" w:ascii="Arial" w:hAnsi="Arial"/>
          <w:b/>
          <w:color w:val="000000"/>
        </w:rPr>
        <w:t>Wspólny Słownik Zamówień</w:t>
      </w:r>
      <w:r>
        <w:rPr>
          <w:rFonts w:eastAsia="Arial" w:cs="Arial" w:ascii="Arial" w:hAnsi="Arial"/>
          <w:color w:val="000000"/>
        </w:rPr>
        <w:t xml:space="preserve"> (CPV) </w:t>
      </w:r>
    </w:p>
    <w:p>
      <w:pPr>
        <w:pStyle w:val="ListParagraph"/>
        <w:numPr>
          <w:ilvl w:val="1"/>
          <w:numId w:val="1"/>
        </w:numPr>
        <w:spacing w:before="0" w:after="0"/>
        <w:ind w:hanging="360" w:start="1080"/>
        <w:contextualSpacing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Dla części I zamówienia:</w:t>
      </w:r>
    </w:p>
    <w:p>
      <w:pPr>
        <w:pStyle w:val="ListParagraph"/>
        <w:spacing w:before="0" w:after="0"/>
        <w:ind w:start="1080"/>
        <w:contextualSpacing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39162100-6 Pomoce dydaktyczne</w:t>
      </w:r>
    </w:p>
    <w:p>
      <w:pPr>
        <w:pStyle w:val="ListParagraph"/>
        <w:spacing w:before="0" w:after="0"/>
        <w:ind w:start="1080"/>
        <w:contextualSpacing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37524100-8 Gry edukacyjne </w:t>
      </w:r>
    </w:p>
    <w:p>
      <w:pPr>
        <w:pStyle w:val="ListParagraph"/>
        <w:numPr>
          <w:ilvl w:val="1"/>
          <w:numId w:val="1"/>
        </w:numPr>
        <w:spacing w:before="0" w:after="0"/>
        <w:ind w:hanging="360" w:start="1080"/>
        <w:contextualSpacing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Dla części II zamówienia:</w:t>
      </w:r>
    </w:p>
    <w:p>
      <w:pPr>
        <w:pStyle w:val="BodyText"/>
        <w:spacing w:before="0" w:after="0"/>
        <w:ind w:start="1080"/>
        <w:contextualSpacing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30231320-6 Monitory dotykowe</w:t>
      </w:r>
    </w:p>
    <w:p>
      <w:pPr>
        <w:pStyle w:val="BodyText"/>
        <w:spacing w:before="0" w:after="0"/>
        <w:ind w:start="1080"/>
        <w:contextualSpacing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30236000-2 Różny sprzęt komputerowy</w:t>
      </w:r>
    </w:p>
    <w:p>
      <w:pPr>
        <w:pStyle w:val="BodyText"/>
        <w:spacing w:before="0" w:after="0"/>
        <w:ind w:start="1080"/>
        <w:contextualSpacing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32322000-6 Urządzenia multimedialne</w:t>
      </w:r>
    </w:p>
    <w:p>
      <w:pPr>
        <w:pStyle w:val="BodyText"/>
        <w:spacing w:before="0" w:after="0"/>
        <w:ind w:start="1080"/>
        <w:contextualSpacing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numPr>
          <w:ilvl w:val="0"/>
          <w:numId w:val="2"/>
        </w:numPr>
        <w:spacing w:lineRule="auto" w:line="276"/>
        <w:ind w:hanging="360" w:start="720"/>
        <w:rPr>
          <w:rFonts w:ascii="Arial" w:hAnsi="Arial"/>
        </w:rPr>
      </w:pPr>
      <w:r>
        <w:rPr>
          <w:rFonts w:eastAsia="Arial" w:cs="Arial" w:ascii="Arial" w:hAnsi="Arial"/>
          <w:b/>
          <w:color w:val="000000"/>
        </w:rPr>
        <w:t>Opis przedmiotu zamówienia.</w:t>
      </w:r>
    </w:p>
    <w:p>
      <w:pPr>
        <w:pStyle w:val="ListParagraph"/>
        <w:numPr>
          <w:ilvl w:val="3"/>
          <w:numId w:val="2"/>
        </w:numPr>
        <w:ind w:hanging="360" w:start="502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Przedmiotem zamówienia jest dostawa pomocy dydaktycznych, do zajęć edukacyjnych w ramach projektu „Mała szkoła kluczem do przyszłości” współfinansowanego ze środków Unii Europejskiej z Europejskiego Funduszu Społecznego w Ramach Programu Regionalnego Fundusze Europejskie dla Łódzkiego 2021-2027. Dostawa realizowana będzie na rzecz i do siedziby Szkoły Podstawowej Integracyjnej nr 8 w Sieradzu, dla której organem prowadzącym jest Gmina Miasto Sieradz.</w:t>
      </w:r>
    </w:p>
    <w:p>
      <w:pPr>
        <w:pStyle w:val="ListParagraph"/>
        <w:numPr>
          <w:ilvl w:val="3"/>
          <w:numId w:val="2"/>
        </w:numPr>
        <w:ind w:hanging="360" w:start="502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Szczegółowy opis przedmiotu zamówienia zawiera załącznik numer 1 (dla dostawy pomocy dydaktycznych) oraz załącznik nr 2 (dla sprzętu TIK)  do zapytania. </w:t>
      </w:r>
    </w:p>
    <w:p>
      <w:pPr>
        <w:pStyle w:val="ListParagraph"/>
        <w:numPr>
          <w:ilvl w:val="3"/>
          <w:numId w:val="2"/>
        </w:numPr>
        <w:ind w:hanging="360" w:start="502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Parametry techniczne i funkcjonalne przedmiotu zamówienia Zamawiający określił jako minimalne wymagania i dopuszcza, aby dostawa objęła pomoce dydaktyczne o lepszych parametrach. </w:t>
      </w:r>
    </w:p>
    <w:p>
      <w:pPr>
        <w:pStyle w:val="ListParagraph"/>
        <w:numPr>
          <w:ilvl w:val="3"/>
          <w:numId w:val="2"/>
        </w:numPr>
        <w:ind w:hanging="360" w:start="502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Oferowany przedmiot zamówienia musi być fabrycznie nowy, nienoszący śladów uszkodzeń zewnętrznych oraz uprzedniego używania. Dostawy mogą być realizowane wyłącznie w oryginalnych opakowaniach posiadających fabryczne oznakowania producenta. </w:t>
      </w:r>
    </w:p>
    <w:p>
      <w:pPr>
        <w:pStyle w:val="ListParagraph"/>
        <w:numPr>
          <w:ilvl w:val="3"/>
          <w:numId w:val="2"/>
        </w:numPr>
        <w:ind w:hanging="360" w:start="502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Pomoce dydaktyczne muszą posiadać certyfikat zgodności z Polską Normą (Deklarację Zgodności CE). Wyrób musi być oznakowany znakiem CE, zgodnie z zasadniczymi wymaganiami bezpieczeństwa obowiązującymi w krajach Unii Europejskiej. Deklaracja zgodności powinna być dostarczona wraz z dostawą. </w:t>
      </w:r>
    </w:p>
    <w:p>
      <w:pPr>
        <w:pStyle w:val="ListParagraph"/>
        <w:numPr>
          <w:ilvl w:val="3"/>
          <w:numId w:val="2"/>
        </w:numPr>
        <w:ind w:hanging="360" w:start="502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Opakowanie musi posiadać etykietę informacyjną zawierającą minimum następujące dane: nazwę i adres producenta, nazwę wyrobu, datę produkcji oraz inne oznakowania zgodnie z obowiązującymi w tym zakresie przepisami. </w:t>
      </w:r>
    </w:p>
    <w:p>
      <w:pPr>
        <w:pStyle w:val="ListParagraph"/>
        <w:numPr>
          <w:ilvl w:val="3"/>
          <w:numId w:val="2"/>
        </w:numPr>
        <w:ind w:hanging="360" w:start="502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Na opakowaniach dostarczonych pomocy dydaktycznych muszą znajdować się oznakowania i opisy w języku polskim. </w:t>
      </w:r>
    </w:p>
    <w:p>
      <w:pPr>
        <w:pStyle w:val="ListParagraph"/>
        <w:numPr>
          <w:ilvl w:val="3"/>
          <w:numId w:val="2"/>
        </w:numPr>
        <w:ind w:hanging="360" w:start="502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Dostarczone pomoce dydaktyczne muszą posiadać instrukcję użytkowania opisującą funkcje oraz sposób eksploatacji dostarczonych pomocy oraz informacje bezpieczeństwa sformułowane w języku polskim (instrukcja obsługi, instrukcja konserwacji itp.).</w:t>
      </w:r>
    </w:p>
    <w:p>
      <w:pPr>
        <w:pStyle w:val="ListParagraph"/>
        <w:numPr>
          <w:ilvl w:val="3"/>
          <w:numId w:val="2"/>
        </w:numPr>
        <w:ind w:hanging="360" w:start="502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Dostarczone pomoce dydaktyczne muszą być wykonane z tworzyw wysokiej jakości, a zawarte w nich substancje chemiczne nie mogą stanowić zagrożenia dla bezpieczeństwa i zdrowia dzieci. </w:t>
      </w:r>
    </w:p>
    <w:p>
      <w:pPr>
        <w:pStyle w:val="ListParagraph"/>
        <w:ind w:start="502"/>
        <w:rPr>
          <w:rFonts w:cs="Arial"/>
          <w:color w:val="000000"/>
          <w:lang w:eastAsia="pl-PL"/>
        </w:rPr>
      </w:pPr>
      <w:r>
        <w:rPr>
          <w:rFonts w:cs="Arial"/>
          <w:color w:val="000000"/>
          <w:lang w:eastAsia="pl-PL"/>
        </w:rPr>
      </w:r>
    </w:p>
    <w:p>
      <w:pPr>
        <w:pStyle w:val="Default"/>
        <w:numPr>
          <w:ilvl w:val="0"/>
          <w:numId w:val="2"/>
        </w:numPr>
        <w:spacing w:lineRule="auto" w:line="276"/>
        <w:ind w:hanging="360" w:start="720"/>
        <w:rPr>
          <w:sz w:val="22"/>
          <w:szCs w:val="22"/>
        </w:rPr>
      </w:pPr>
      <w:r>
        <w:rPr>
          <w:b/>
          <w:bCs/>
          <w:sz w:val="22"/>
          <w:szCs w:val="22"/>
        </w:rPr>
        <w:t>Termin realizacji zamówienia:</w:t>
      </w:r>
      <w:r>
        <w:rPr>
          <w:sz w:val="22"/>
          <w:szCs w:val="22"/>
        </w:rPr>
        <w:t xml:space="preserve"> </w:t>
      </w:r>
    </w:p>
    <w:p>
      <w:pPr>
        <w:pStyle w:val="Default"/>
        <w:spacing w:lineRule="auto" w:line="276"/>
        <w:ind w:start="720"/>
        <w:rPr>
          <w:color w:val="auto"/>
        </w:rPr>
      </w:pPr>
      <w:r>
        <w:rPr>
          <w:color w:val="auto"/>
          <w:sz w:val="22"/>
          <w:szCs w:val="22"/>
        </w:rPr>
        <w:t>dla części I – do 30 dni od podpisania umowy</w:t>
      </w:r>
    </w:p>
    <w:p>
      <w:pPr>
        <w:pStyle w:val="Default"/>
        <w:spacing w:lineRule="auto" w:line="276"/>
        <w:ind w:start="720"/>
        <w:rPr>
          <w:sz w:val="22"/>
          <w:szCs w:val="22"/>
        </w:rPr>
      </w:pPr>
      <w:r>
        <w:rPr>
          <w:color w:val="auto"/>
          <w:sz w:val="22"/>
          <w:szCs w:val="22"/>
        </w:rPr>
        <w:t>dla części II – do 40 dni od podpisania umowy</w:t>
      </w:r>
      <w:r>
        <w:rPr>
          <w:color w:val="C9211E"/>
          <w:sz w:val="22"/>
          <w:szCs w:val="22"/>
        </w:rPr>
        <w:t xml:space="preserve"> </w:t>
      </w:r>
    </w:p>
    <w:p>
      <w:pPr>
        <w:pStyle w:val="Default"/>
        <w:spacing w:lineRule="auto" w:line="276"/>
        <w:ind w:start="72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numPr>
          <w:ilvl w:val="0"/>
          <w:numId w:val="2"/>
        </w:numPr>
        <w:spacing w:lineRule="auto" w:line="276"/>
        <w:ind w:hanging="360" w:start="72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Wymogi dotyczące oferty </w:t>
      </w:r>
    </w:p>
    <w:p>
      <w:pPr>
        <w:pStyle w:val="ListParagraph"/>
        <w:numPr>
          <w:ilvl w:val="3"/>
          <w:numId w:val="2"/>
        </w:numPr>
        <w:ind w:hanging="360" w:start="50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Oferta musi zawierać „Formularz ofertowy”, zgodny ze wzorem stanowiącym załącznik nr 3 do zapytania ofertowego wraz z odpowiednim formularzem cenowym (załącznik nr 4 lub 5 do niniejszego zapytania).</w:t>
      </w:r>
    </w:p>
    <w:p>
      <w:pPr>
        <w:pStyle w:val="ListParagraph"/>
        <w:numPr>
          <w:ilvl w:val="3"/>
          <w:numId w:val="2"/>
        </w:numPr>
        <w:ind w:hanging="360" w:start="50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Oferta musi być sporządzona w języku polskim i podpisana </w:t>
      </w:r>
      <w:r>
        <w:rPr>
          <w:rFonts w:ascii="Arial" w:hAnsi="Arial"/>
          <w:sz w:val="22"/>
          <w:szCs w:val="22"/>
        </w:rPr>
        <w:t xml:space="preserve">elektronicznym podpisem </w:t>
      </w:r>
      <w:r>
        <w:rPr>
          <w:rFonts w:ascii="Arial" w:hAnsi="Arial"/>
          <w:sz w:val="22"/>
          <w:szCs w:val="22"/>
        </w:rPr>
        <w:t xml:space="preserve">kwalifikowanym </w:t>
      </w:r>
      <w:r>
        <w:rPr>
          <w:rFonts w:ascii="Arial" w:hAnsi="Arial"/>
          <w:sz w:val="22"/>
          <w:szCs w:val="22"/>
        </w:rPr>
        <w:t>(podpis elektroniczny w postaci Profilu Zaufanego nie będzie spełniał wymogu kwalifikowanego podpisu elektronicznego),</w:t>
      </w:r>
      <w:r>
        <w:rPr>
          <w:rFonts w:ascii="Arial" w:hAnsi="Arial"/>
          <w:sz w:val="22"/>
          <w:szCs w:val="22"/>
        </w:rPr>
        <w:t xml:space="preserve"> </w:t>
      </w:r>
    </w:p>
    <w:p>
      <w:pPr>
        <w:pStyle w:val="ListParagraph"/>
        <w:numPr>
          <w:ilvl w:val="3"/>
          <w:numId w:val="2"/>
        </w:numPr>
        <w:ind w:hanging="360" w:start="50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Oferta musi zawierać pełną nazwę oferenta, adres siedziby, dane kontaktowe (telefon, e-mail), NIP oraz datę sporządzenia </w:t>
      </w:r>
    </w:p>
    <w:p>
      <w:pPr>
        <w:pStyle w:val="ListParagraph"/>
        <w:numPr>
          <w:ilvl w:val="3"/>
          <w:numId w:val="2"/>
        </w:numPr>
        <w:ind w:hanging="360" w:start="50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Oferent jest obowiązany do wypełnienia „Formularza ofertowego” i określenia w nim cen na wszystkie koszty niezbędne do wykonania zamówienia łącznie z dostawą. Ceny oferty muszą być przedstawione w PLN jako ceny brutto (zawierać podatek VAT), zaokrąglone do dwóch miejsc po przecinku. </w:t>
      </w:r>
    </w:p>
    <w:p>
      <w:pPr>
        <w:pStyle w:val="ListParagraph"/>
        <w:numPr>
          <w:ilvl w:val="3"/>
          <w:numId w:val="2"/>
        </w:numPr>
        <w:ind w:hanging="360" w:start="50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Załączniki do zapytania ofertowego muszą zawierać podpisy osób uprawnionych do reprezentacji oferenta. </w:t>
      </w:r>
    </w:p>
    <w:p>
      <w:pPr>
        <w:pStyle w:val="ListParagraph"/>
        <w:numPr>
          <w:ilvl w:val="3"/>
          <w:numId w:val="2"/>
        </w:numPr>
        <w:ind w:hanging="360" w:start="50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Wprowadzenie przez Oferenta zmian uniemożliwiających ocenę zgodnie z przyjętymi kryteriami w „Formularzu ofertowym” spowoduje odrzucenie oferty. </w:t>
      </w:r>
    </w:p>
    <w:p>
      <w:pPr>
        <w:pStyle w:val="ListParagraph"/>
        <w:numPr>
          <w:ilvl w:val="3"/>
          <w:numId w:val="2"/>
        </w:numPr>
        <w:ind w:hanging="360" w:start="50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Każdy z oferentów może złożyć jedną ofertę </w:t>
      </w:r>
    </w:p>
    <w:p>
      <w:pPr>
        <w:pStyle w:val="ListParagraph"/>
        <w:numPr>
          <w:ilvl w:val="3"/>
          <w:numId w:val="2"/>
        </w:numPr>
        <w:ind w:hanging="360" w:start="50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Oferenci ponoszą wszelkie koszty własne związane z przygotowaniem i złożeniem oferty, niezależnie od wyników postępowania. Organizator postępowania nie odpowiada za koszty poniesione przez oferentów w związku z przygotowaniem i złożeniem oferty.</w:t>
      </w:r>
    </w:p>
    <w:p>
      <w:pPr>
        <w:pStyle w:val="ListParagraph"/>
        <w:numPr>
          <w:ilvl w:val="3"/>
          <w:numId w:val="2"/>
        </w:numPr>
        <w:ind w:hanging="360" w:start="50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Oferta wraz ze stanowiącymi jej integralną część załącznikami musi być sporządzona przez Wykonawcę ściśle według postanowień niniejszego zapytania </w:t>
      </w:r>
    </w:p>
    <w:p>
      <w:pPr>
        <w:pStyle w:val="ListParagrap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ListParagrap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ListParagrap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Default"/>
        <w:numPr>
          <w:ilvl w:val="0"/>
          <w:numId w:val="0"/>
        </w:numPr>
        <w:spacing w:lineRule="auto" w:line="276"/>
        <w:ind w:hanging="0" w:start="720"/>
        <w:rPr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Default"/>
        <w:numPr>
          <w:ilvl w:val="0"/>
          <w:numId w:val="2"/>
        </w:numPr>
        <w:spacing w:lineRule="auto" w:line="276"/>
        <w:ind w:hanging="360" w:start="72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O </w:t>
      </w:r>
      <w:r>
        <w:rPr>
          <w:rFonts w:eastAsia="Arial"/>
          <w:b/>
          <w:bCs/>
          <w:sz w:val="22"/>
          <w:szCs w:val="22"/>
        </w:rPr>
        <w:t>udzielenie zamówienia mogą ubiegać się Wykonawcy</w:t>
      </w:r>
      <w:r>
        <w:rPr>
          <w:rFonts w:eastAsia="Arial"/>
          <w:sz w:val="22"/>
          <w:szCs w:val="22"/>
        </w:rPr>
        <w:t>, którzy spełniają następujące warunki udziału w postępowaniu:</w:t>
      </w:r>
    </w:p>
    <w:p>
      <w:pPr>
        <w:pStyle w:val="ListParagraph"/>
        <w:numPr>
          <w:ilvl w:val="3"/>
          <w:numId w:val="2"/>
        </w:numPr>
        <w:ind w:hanging="360" w:start="50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Znajdują s</w:t>
      </w:r>
      <w:r>
        <w:rPr>
          <w:rFonts w:eastAsia="Arial" w:cs="Arial" w:ascii="Arial" w:hAnsi="Arial"/>
          <w:color w:val="000000"/>
          <w:sz w:val="22"/>
          <w:szCs w:val="22"/>
        </w:rPr>
        <w:t>ię w sytuacji ekonomicznej i finansowej zapewniającej wykonanie zamówienia.</w:t>
      </w:r>
    </w:p>
    <w:p>
      <w:pPr>
        <w:pStyle w:val="ListParagraph"/>
        <w:numPr>
          <w:ilvl w:val="3"/>
          <w:numId w:val="2"/>
        </w:numPr>
        <w:ind w:hanging="360" w:start="50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Ni</w:t>
      </w:r>
      <w:r>
        <w:rPr>
          <w:rFonts w:eastAsia="Arial" w:cs="Arial" w:ascii="Arial" w:hAnsi="Arial"/>
          <w:color w:val="000000"/>
          <w:sz w:val="22"/>
          <w:szCs w:val="22"/>
        </w:rPr>
        <w:t xml:space="preserve">e byli prawomocnie skazani za przestępstwa przeciwko mieniu, przeciwko obrotowi gospodarczemu, przeciwko działalności instytucji państwowych oraz samorządu terytorialnego, przeciwko wiarygodności dokumentów lub za przestępstwo skarbowe. </w:t>
      </w:r>
    </w:p>
    <w:p>
      <w:pPr>
        <w:pStyle w:val="ListParagrap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Default"/>
        <w:numPr>
          <w:ilvl w:val="0"/>
          <w:numId w:val="2"/>
        </w:numPr>
        <w:spacing w:lineRule="auto" w:line="276"/>
        <w:ind w:hanging="360" w:start="72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Z </w:t>
      </w:r>
      <w:r>
        <w:rPr>
          <w:rFonts w:eastAsia="Arial"/>
          <w:b/>
          <w:bCs/>
          <w:sz w:val="22"/>
          <w:szCs w:val="22"/>
        </w:rPr>
        <w:t>postępowania o zamówienie publiczne Zamawiający wyklucza:</w:t>
      </w:r>
    </w:p>
    <w:p>
      <w:pPr>
        <w:pStyle w:val="ListParagraph"/>
        <w:ind w:start="50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Wykonawcę podlegającemu wykluczeniu z postępowania na podstawie art. 7 ust. 1 w związku z art. 7 ust. 9 ustawy z dnia 13 kwietnia 2022 r. o szczególnych rozwiązaniach w zakresie przeciwdziałania wspieraniu agresji na Ukrainę oraz służących ochronie bezpieczeństwa narodowego (Dz.U.2022 poz.835). </w:t>
      </w:r>
    </w:p>
    <w:p>
      <w:pPr>
        <w:pStyle w:val="ListParagraph"/>
        <w:ind w:start="502"/>
        <w:rPr>
          <w:b/>
          <w:bCs/>
        </w:rPr>
      </w:pPr>
      <w:r>
        <w:rPr>
          <w:b/>
          <w:bCs/>
        </w:rPr>
      </w:r>
    </w:p>
    <w:p>
      <w:pPr>
        <w:pStyle w:val="Standard"/>
        <w:numPr>
          <w:ilvl w:val="0"/>
          <w:numId w:val="2"/>
        </w:numPr>
        <w:spacing w:lineRule="auto" w:line="276"/>
        <w:ind w:hanging="284" w:start="624"/>
        <w:rPr>
          <w:rFonts w:ascii="Arial" w:hAnsi="Arial"/>
        </w:rPr>
      </w:pPr>
      <w:r>
        <w:rPr>
          <w:rFonts w:eastAsia="Arial" w:cs="Arial" w:ascii="Arial" w:hAnsi="Arial"/>
          <w:b/>
          <w:color w:val="000000"/>
        </w:rPr>
        <w:t>Informacja na temat zakazu konfliktu interesów.</w:t>
      </w:r>
    </w:p>
    <w:p>
      <w:pPr>
        <w:pStyle w:val="Standard"/>
        <w:spacing w:lineRule="auto" w:line="276"/>
        <w:ind w:start="624"/>
        <w:rPr>
          <w:rFonts w:ascii="Arial" w:hAnsi="Arial"/>
        </w:rPr>
      </w:pPr>
      <w:r>
        <w:rPr>
          <w:rFonts w:eastAsia="Arial" w:cs="Arial" w:ascii="Arial" w:hAnsi="Arial"/>
          <w:bCs/>
          <w:color w:val="000000"/>
        </w:rPr>
        <w:t>Zamawiający zapewnia wykonanie czynności związanych z przygotowaniem i prowadzeniem postępowania przez osoby zapewniające bezstronność i obiektywizm. Zamawiający podejmuje środki, aby zapobiegać konfliktom interesów na każdym etapie prowadzenia postępowania i jego realizacji w celu niedopuszczenia do zakłócenia konkurencji oraz zapewnienia równego traktowania Wykonawców.</w:t>
      </w:r>
    </w:p>
    <w:p>
      <w:pPr>
        <w:pStyle w:val="Standard"/>
        <w:spacing w:lineRule="auto" w:line="276"/>
        <w:rPr>
          <w:rFonts w:ascii="Arial" w:hAnsi="Arial" w:eastAsia="Arial" w:cs="Arial"/>
          <w:color w:val="000000"/>
        </w:rPr>
      </w:pPr>
      <w:r>
        <w:rPr>
          <w:rFonts w:eastAsia="Arial" w:cs="Arial" w:ascii="Arial" w:hAnsi="Arial"/>
          <w:color w:val="000000"/>
        </w:rPr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ind w:hanging="360" w:start="72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  <w:lang w:eastAsia="zh-CN" w:bidi="hi-IN"/>
        </w:rPr>
        <w:t>Sposób obliczenia ceny.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ind w:hanging="360" w:start="68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 xml:space="preserve">Wykonawca zobowiązany jest podać w ofercie cenę całkowitą brutto za realizację zamówienia w całym okresie realizacji umowy 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ind w:hanging="360" w:start="68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Cenę ofertową należy podać w formularzu ofertowym stanowiącym załącznik nr 1 do niniejszego zapytania ofertowego, oddzielnie dla każdej części zamówienia.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ind w:hanging="360" w:start="68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W cenie powinien być uwzględniony podatek od towarów i usług (VAT).</w:t>
      </w:r>
    </w:p>
    <w:p>
      <w:pPr>
        <w:pStyle w:val="BodyText"/>
        <w:numPr>
          <w:ilvl w:val="0"/>
          <w:numId w:val="0"/>
        </w:numPr>
        <w:spacing w:before="0" w:after="0"/>
        <w:ind w:hanging="0" w:start="680"/>
        <w:rPr>
          <w:rFonts w:ascii="Arial" w:hAnsi="Arial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Sprzęt komputerowy objęty postępowaniem w trybie</w:t>
      </w:r>
      <w:r>
        <w:rPr>
          <w:rFonts w:ascii="Arial" w:hAnsi="Arial"/>
          <w:color w:val="000000"/>
          <w:sz w:val="22"/>
          <w:szCs w:val="22"/>
        </w:rPr>
        <w:t xml:space="preserve"> ustawy o podatku od towarów i usług z dnia 11.03.2004 r. (Dz. U. z 2025 r. poz. 775 z późn. zm.) na podstawie art. 83 ust. 1 pkt 26 w prawie wykorzystania sprzętu komputerowego, do którego stosuje się stawkę podatku od towarów i usług w wysokości 0 %.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ind w:hanging="360" w:start="68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Wykonawca winien przeanalizować wszelkie okoliczności, które mogą mieć wpływ na ostateczną wartość zamówienia i skalkulować cenę oferty na takim poziomie, który będzie gwarantował Zamawiającemu należyte wykonanie zamówienia i czynił przedsięwzięcie rentownym dla Wykonawcy.</w:t>
      </w:r>
    </w:p>
    <w:p>
      <w:pPr>
        <w:pStyle w:val="Normal"/>
        <w:widowControl w:val="false"/>
        <w:spacing w:before="0" w:after="0"/>
        <w:ind w:start="1134"/>
        <w:rPr>
          <w:rFonts w:eastAsia="Arial" w:cs="Arial"/>
          <w:color w:val="000000"/>
          <w:lang w:eastAsia="zh-CN" w:bidi="hi-IN"/>
        </w:rPr>
      </w:pPr>
      <w:r>
        <w:rPr>
          <w:rFonts w:eastAsia="Arial" w:cs="Arial"/>
          <w:color w:val="000000"/>
          <w:lang w:eastAsia="zh-CN" w:bidi="hi-IN"/>
        </w:rPr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ind w:hanging="360" w:start="72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  <w:lang w:eastAsia="zh-CN" w:bidi="hi-IN"/>
        </w:rPr>
        <w:t>Kryteria oceny ofert, informacja o wagach punktowych lub procentowych przypisanych do poszczególnych kryteriów oceny ofert oraz opis sposobu przyznawania punktacji za spełnienia danego kryterium oceny ofert.</w:t>
      </w:r>
    </w:p>
    <w:p>
      <w:pPr>
        <w:pStyle w:val="Normal"/>
        <w:widowControl w:val="false"/>
        <w:numPr>
          <w:ilvl w:val="0"/>
          <w:numId w:val="7"/>
        </w:numPr>
        <w:spacing w:before="0" w:after="0"/>
        <w:ind w:hanging="360" w:start="68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Przy wyborze najkorzystniejszej oferty Zamawiający będzie się kierował następującym kryterium oceny ofert – cena o wadze 100 pkt (oferowaną cenę Wykonawca poda w formularzu ofertowym)</w:t>
      </w:r>
    </w:p>
    <w:p>
      <w:pPr>
        <w:pStyle w:val="Normal"/>
        <w:numPr>
          <w:ilvl w:val="0"/>
          <w:numId w:val="7"/>
        </w:numPr>
        <w:spacing w:before="0" w:after="0"/>
        <w:ind w:hanging="360" w:start="68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Każda oferta będzie oceniana w skali 100 pkt oddzielnie dla każdej części zamówienia.</w:t>
      </w:r>
    </w:p>
    <w:p>
      <w:pPr>
        <w:pStyle w:val="Normal"/>
        <w:numPr>
          <w:ilvl w:val="0"/>
          <w:numId w:val="7"/>
        </w:numPr>
        <w:spacing w:before="0" w:after="0"/>
        <w:ind w:hanging="360" w:start="68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Liczba punktów w kryterium cena będzie obliczona na podstawie następującego wzoru:</w:t>
      </w:r>
    </w:p>
    <w:p>
      <w:pPr>
        <w:pStyle w:val="Normal"/>
        <w:spacing w:before="0" w:after="0"/>
        <w:ind w:start="414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before="0" w:after="0"/>
        <w:ind w:start="414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C= najniższa oferowana cena / cena oferty badanej  x </w:t>
      </w:r>
      <w:r>
        <w:rPr>
          <w:rFonts w:ascii="Arial" w:hAnsi="Arial"/>
          <w:sz w:val="22"/>
          <w:szCs w:val="22"/>
        </w:rPr>
        <w:t>10</w:t>
      </w:r>
      <w:r>
        <w:rPr>
          <w:rFonts w:ascii="Arial" w:hAnsi="Arial"/>
          <w:sz w:val="22"/>
          <w:szCs w:val="22"/>
        </w:rPr>
        <w:t>0 pkt.</w:t>
      </w:r>
    </w:p>
    <w:p>
      <w:pPr>
        <w:pStyle w:val="Normal"/>
        <w:widowControl w:val="false"/>
        <w:spacing w:before="0" w:after="0"/>
        <w:ind w:start="113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pacing w:before="0" w:after="0"/>
        <w:ind w:start="113"/>
        <w:rPr>
          <w:rFonts w:ascii="Arial" w:hAnsi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  <w:lang w:eastAsia="zh-CN" w:bidi="hi-IN"/>
        </w:rPr>
        <w:t>(najniższa zaoferowana cena spośród wszystkich złożonych ofert niepodlegających odrzuceniu</w:t>
      </w:r>
      <w:r>
        <w:rPr>
          <w:rFonts w:ascii="Arial" w:hAnsi="Arial"/>
          <w:sz w:val="20"/>
          <w:szCs w:val="20"/>
        </w:rPr>
        <w:t>)</w:t>
      </w:r>
    </w:p>
    <w:p>
      <w:pPr>
        <w:pStyle w:val="Normal"/>
        <w:widowControl w:val="false"/>
        <w:spacing w:before="0" w:after="0"/>
        <w:ind w:start="113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pacing w:before="0" w:after="0"/>
        <w:ind w:start="397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numPr>
          <w:ilvl w:val="0"/>
          <w:numId w:val="7"/>
        </w:numPr>
        <w:spacing w:before="0" w:after="0"/>
        <w:ind w:hanging="340" w:start="68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 xml:space="preserve">Punktacja przyznawana ofertom będzie liczona z dokładnością do dwóch miejsc po przecinku, zgodnie z zasadami arytmetyki. W przypadku, gdy pomimo różnicy w zaoferowanej cenie, oferty otrzymają taką samą liczbę punktów, Zamawiający wyliczy punktację z dokładnością do większej liczby miejsc po przecinku.  </w:t>
      </w:r>
    </w:p>
    <w:p>
      <w:pPr>
        <w:pStyle w:val="Normal"/>
        <w:numPr>
          <w:ilvl w:val="0"/>
          <w:numId w:val="7"/>
        </w:numPr>
        <w:spacing w:before="0" w:after="0"/>
        <w:ind w:hanging="340" w:start="68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Zamawiający wybierze najkorzystniejszą ofertę, tj. z najwyższą liczbą punktów, spośród nieodrzuconych ofert, oddzielnie dla każdej części zamówienia.</w:t>
      </w:r>
    </w:p>
    <w:p>
      <w:pPr>
        <w:pStyle w:val="Normal"/>
        <w:numPr>
          <w:ilvl w:val="0"/>
          <w:numId w:val="7"/>
        </w:numPr>
        <w:spacing w:before="0" w:after="0"/>
        <w:ind w:hanging="340" w:start="68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Jeżeli najniższe oferty zostaną złożone z taką samą ceną Zamawiający wezwie Wykonawców, którzy złożyli te oferty, do złożenia ofert dodatkowych zawierających nową cenę.</w:t>
      </w:r>
    </w:p>
    <w:p>
      <w:pPr>
        <w:pStyle w:val="Normal"/>
        <w:widowControl w:val="false"/>
        <w:spacing w:before="0" w:after="0"/>
        <w:ind w:start="720"/>
        <w:rPr>
          <w:rFonts w:ascii="Arial" w:hAnsi="Arial" w:eastAsia="Arial" w:cs="Arial"/>
          <w:color w:val="000000"/>
          <w:sz w:val="22"/>
          <w:szCs w:val="22"/>
          <w:lang w:eastAsia="zh-CN" w:bidi="hi-IN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ind w:hanging="360" w:start="720"/>
        <w:rPr/>
      </w:pPr>
      <w:r>
        <w:rPr>
          <w:rFonts w:eastAsia="Arial" w:cs="Arial" w:ascii="Arial" w:hAnsi="Arial"/>
          <w:b/>
          <w:sz w:val="22"/>
          <w:szCs w:val="22"/>
          <w:lang w:eastAsia="zh-CN" w:bidi="hi-IN"/>
        </w:rPr>
        <w:t xml:space="preserve">Termin związania ofertą: </w:t>
      </w:r>
      <w:r>
        <w:rPr>
          <w:rFonts w:eastAsia="Arial" w:cs="Arial" w:ascii="Arial" w:hAnsi="Arial"/>
          <w:sz w:val="22"/>
          <w:szCs w:val="22"/>
          <w:lang w:eastAsia="zh-CN" w:bidi="hi-IN"/>
        </w:rPr>
        <w:t xml:space="preserve">30 </w:t>
      </w:r>
      <w:r>
        <w:rPr>
          <w:rFonts w:eastAsia="Arial" w:cs="Arial" w:ascii="Arial" w:hAnsi="Arial"/>
          <w:bCs/>
          <w:sz w:val="22"/>
          <w:szCs w:val="22"/>
          <w:lang w:eastAsia="zh-CN" w:bidi="hi-IN"/>
        </w:rPr>
        <w:t>dni od daty upływu składania ofert.</w:t>
      </w:r>
    </w:p>
    <w:p>
      <w:pPr>
        <w:pStyle w:val="Normal"/>
        <w:widowControl w:val="false"/>
        <w:spacing w:before="0" w:after="0"/>
        <w:ind w:start="720"/>
        <w:rPr>
          <w:rFonts w:ascii="Arial" w:hAnsi="Arial" w:eastAsia="Arial" w:cs="Arial"/>
          <w:color w:val="000000"/>
          <w:sz w:val="22"/>
          <w:szCs w:val="22"/>
          <w:lang w:eastAsia="zh-CN" w:bidi="hi-IN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ind w:hanging="360" w:start="72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  <w:lang w:eastAsia="zh-CN" w:bidi="hi-IN"/>
        </w:rPr>
        <w:t>Termin i sposób składania ofert.</w:t>
      </w:r>
    </w:p>
    <w:p>
      <w:pPr>
        <w:pStyle w:val="Normal"/>
        <w:numPr>
          <w:ilvl w:val="0"/>
          <w:numId w:val="4"/>
        </w:numPr>
        <w:spacing w:before="0" w:after="0"/>
        <w:ind w:hanging="340" w:start="567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 xml:space="preserve">Oferty należy składać przez bazę konkurencyjności. </w:t>
      </w:r>
    </w:p>
    <w:p>
      <w:pPr>
        <w:pStyle w:val="Normal"/>
        <w:numPr>
          <w:ilvl w:val="0"/>
          <w:numId w:val="4"/>
        </w:numPr>
        <w:spacing w:before="0" w:after="0"/>
        <w:ind w:hanging="340" w:start="567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Termin składania ofert upływa dnia</w:t>
      </w:r>
      <w:r>
        <w:rPr>
          <w:rFonts w:eastAsia="Arial" w:cs="Arial" w:ascii="Arial" w:hAnsi="Arial"/>
          <w:color w:val="000000"/>
          <w:sz w:val="22"/>
          <w:szCs w:val="22"/>
          <w:u w:val="single" w:color="FFFFFF"/>
          <w:lang w:eastAsia="zh-CN" w:bidi="hi-IN"/>
        </w:rPr>
        <w:t xml:space="preserve"> 13</w:t>
      </w:r>
      <w:r>
        <w:rPr>
          <w:rFonts w:eastAsia="Arial" w:cs="Arial" w:ascii="Arial" w:hAnsi="Arial"/>
          <w:sz w:val="22"/>
          <w:szCs w:val="22"/>
          <w:u w:val="single" w:color="FFFFFF"/>
          <w:lang w:eastAsia="zh-CN" w:bidi="hi-IN"/>
        </w:rPr>
        <w:t>.04.2026 r.</w:t>
      </w:r>
      <w:r>
        <w:rPr>
          <w:rFonts w:eastAsia="Arial" w:cs="Arial" w:ascii="Arial" w:hAnsi="Arial"/>
          <w:color w:val="000000"/>
          <w:sz w:val="22"/>
          <w:szCs w:val="22"/>
          <w:u w:val="single" w:color="FFFFFF"/>
          <w:lang w:eastAsia="zh-CN" w:bidi="hi-IN"/>
        </w:rPr>
        <w:t xml:space="preserve"> o godz. 1</w:t>
      </w:r>
      <w:r>
        <w:rPr>
          <w:rFonts w:eastAsia="Arial" w:cs="Arial" w:ascii="Arial" w:hAnsi="Arial"/>
          <w:color w:val="000000"/>
          <w:sz w:val="22"/>
          <w:szCs w:val="22"/>
          <w:u w:val="single" w:color="FFFFFF"/>
          <w:lang w:eastAsia="zh-CN" w:bidi="hi-IN"/>
        </w:rPr>
        <w:t>5</w:t>
      </w:r>
      <w:r>
        <w:rPr>
          <w:rFonts w:eastAsia="Arial" w:cs="Arial" w:ascii="Arial" w:hAnsi="Arial"/>
          <w:color w:val="000000"/>
          <w:sz w:val="22"/>
          <w:szCs w:val="22"/>
          <w:u w:val="single" w:color="FFFFFF"/>
          <w:lang w:eastAsia="zh-CN" w:bidi="hi-IN"/>
        </w:rPr>
        <w:t>.00</w:t>
      </w: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 xml:space="preserve"> (decyduje data wpływu do bazy konkurencyjności).</w:t>
      </w:r>
    </w:p>
    <w:p>
      <w:pPr>
        <w:pStyle w:val="Normal"/>
        <w:numPr>
          <w:ilvl w:val="0"/>
          <w:numId w:val="4"/>
        </w:numPr>
        <w:spacing w:before="0" w:after="0"/>
        <w:ind w:hanging="340" w:start="567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 xml:space="preserve">Wyniki postępowania lub informacja o jego unieważnieniu zostaną opublikowane na stronie https://bazakonkurencyjnosci.funduszeeuropejskie.gov.pl/ </w:t>
      </w:r>
    </w:p>
    <w:p>
      <w:pPr>
        <w:pStyle w:val="Normal"/>
        <w:widowControl w:val="false"/>
        <w:spacing w:before="0" w:after="0"/>
        <w:rPr>
          <w:rFonts w:ascii="Arial" w:hAnsi="Arial" w:eastAsia="Arial" w:cs="Arial"/>
          <w:color w:val="000000"/>
          <w:sz w:val="22"/>
          <w:szCs w:val="22"/>
          <w:lang w:eastAsia="zh-CN" w:bidi="hi-IN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ind w:hanging="340" w:start="624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  <w:lang w:eastAsia="zh-CN" w:bidi="hi-IN"/>
        </w:rPr>
        <w:t>Umowa w sprawie zamówienia oraz określenie warunków istotnych zmian umowy</w:t>
      </w:r>
    </w:p>
    <w:p>
      <w:pPr>
        <w:pStyle w:val="Normal"/>
        <w:widowControl w:val="false"/>
        <w:numPr>
          <w:ilvl w:val="0"/>
          <w:numId w:val="8"/>
        </w:numPr>
        <w:spacing w:before="0" w:after="0"/>
        <w:ind w:hanging="340" w:start="624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Zawiercie umowy w sprawie zamówienia następuje w formie pisemnej lub w formie elektronicznej, o których mowa w art. 78 i art. 78</w:t>
      </w:r>
      <w:r>
        <w:rPr>
          <w:rFonts w:eastAsia="Arial" w:cs="Arial" w:ascii="Arial" w:hAnsi="Arial"/>
          <w:color w:val="000000"/>
          <w:sz w:val="22"/>
          <w:szCs w:val="22"/>
          <w:vertAlign w:val="superscript"/>
          <w:lang w:eastAsia="zh-CN" w:bidi="hi-IN"/>
        </w:rPr>
        <w:t>1</w:t>
      </w: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 xml:space="preserve"> Kodeksu cywilnego.</w:t>
      </w:r>
    </w:p>
    <w:p>
      <w:pPr>
        <w:pStyle w:val="Normal"/>
        <w:widowControl w:val="false"/>
        <w:numPr>
          <w:ilvl w:val="0"/>
          <w:numId w:val="8"/>
        </w:numPr>
        <w:spacing w:before="0" w:after="0"/>
        <w:ind w:hanging="340" w:start="624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W przypadku, gdy wybrany Wykonawca odstąpi od zawarcia umowy w sprawie zamówienia, Zamawiający może zawrzeć umowę z Wykonawcą, który w prawidłowo prowadzonym postępowaniu o udzielenie zamówienia uzyskał kolejną najwyższą liczbę punktów.</w:t>
      </w:r>
    </w:p>
    <w:p>
      <w:pPr>
        <w:pStyle w:val="Normal"/>
        <w:widowControl w:val="false"/>
        <w:numPr>
          <w:ilvl w:val="0"/>
          <w:numId w:val="8"/>
        </w:numPr>
        <w:spacing w:before="0" w:after="0"/>
        <w:ind w:hanging="340" w:start="624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 xml:space="preserve">Zamawiający dopuszcza w szczególności zmianę postanowień umowy w zakresie: 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start="624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 xml:space="preserve">a) terminu dostawy przedmiotu umowy, w przypadku: - okoliczności, których nie można było przewidzieć w dniu podpisania umowy lub podczas jej realizacji - do czasu ich ustąpienia; - siły wyższej, mającej istotny wpływ na realizację przedmiotu umowy, nie więcej jednak niż o okres działania siły wyższej, do chwili jej ustąpienia; - przyczyn leżących po stronie Zamawiającego, nie więcej jednak niż o 14 dni. 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start="624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 xml:space="preserve">b) w przypadku wycofania z sieci dystrybucji pomocy dydaktycznych/sprzętu będącego przedmiotem umowy wskazanego w ofercie, który Dostawca zaoferował i niemożliwości dostarczenia go Zamawiającemu, Dostawca zobowiązany jest zapewnić model będący równoważnym lub wyższym od pierwotnie zaoferowanego. Przed wykonaniem dostawy, Dostawca zobowiązany jest udowodnić Zamawiającemu, że proponowany model i typ posiada wymagane parametry minimalne, a także złożyć zamawiającemu oświadczenie potwierdzające niemożliwość dostarczenia oferowanego modelu oraz wskazujące proponowany model i typ zamiast oferowanego pierwotnie modelu wraz z zapewnieniem o spełnieniu minimalnych parametrów wymaganych przez Zamawiającego, a zmiana nie może prowadzić do zwiększenia wysokości wynagrodzenia wskazanego w ofercie. 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start="624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c) Powyższe zmiany wymagają sporządzenia pisemnego aneksu do umowy pod rygorem nieważności. </w:t>
      </w:r>
    </w:p>
    <w:p>
      <w:pPr>
        <w:pStyle w:val="Normal"/>
        <w:widowControl w:val="false"/>
        <w:spacing w:before="0" w:after="0"/>
        <w:ind w:start="1080"/>
        <w:rPr>
          <w:rFonts w:ascii="Arial" w:hAnsi="Arial" w:eastAsia="Arial" w:cs="Arial"/>
          <w:color w:val="000000"/>
          <w:sz w:val="22"/>
          <w:szCs w:val="22"/>
          <w:lang w:eastAsia="zh-CN" w:bidi="hi-IN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ind w:hanging="360" w:start="72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  <w:lang w:eastAsia="zh-CN" w:bidi="hi-IN"/>
        </w:rPr>
        <w:t xml:space="preserve">Możliwe jest składanie ofert częściowych: </w:t>
      </w:r>
    </w:p>
    <w:p>
      <w:pPr>
        <w:pStyle w:val="Normal"/>
        <w:widowControl w:val="false"/>
        <w:spacing w:before="0" w:after="0"/>
        <w:ind w:start="72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Tak.</w:t>
      </w:r>
      <w:r>
        <w:rPr>
          <w:rFonts w:eastAsia="Linux Libertine G" w:cs="Linux Libertine G" w:ascii="Arial" w:hAnsi="Arial"/>
          <w:sz w:val="22"/>
          <w:szCs w:val="22"/>
          <w:lang w:eastAsia="zh-CN" w:bidi="hi-IN"/>
        </w:rPr>
        <w:t xml:space="preserve"> </w:t>
      </w:r>
    </w:p>
    <w:p>
      <w:pPr>
        <w:pStyle w:val="Normal"/>
        <w:widowControl w:val="false"/>
        <w:spacing w:before="0" w:after="0"/>
        <w:ind w:hanging="360" w:start="506"/>
        <w:rPr>
          <w:rFonts w:ascii="Arial" w:hAnsi="Arial" w:eastAsia="Arial" w:cs="Arial"/>
          <w:color w:val="000000"/>
          <w:sz w:val="22"/>
          <w:szCs w:val="22"/>
          <w:lang w:eastAsia="zh-CN" w:bidi="hi-IN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ind w:hanging="360" w:start="72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  <w:lang w:eastAsia="zh-CN" w:bidi="hi-IN"/>
        </w:rPr>
        <w:t xml:space="preserve">Określenie aspektów społecznych, środowiskowych lub etykiet w opisie przedmiotu zamówienia i/lub związanych z realizacją zamówienia: </w:t>
      </w:r>
    </w:p>
    <w:p>
      <w:pPr>
        <w:pStyle w:val="Normal"/>
        <w:jc w:val="start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shd w:fill="FFFFFF" w:val="clear"/>
        </w:rPr>
        <w:t xml:space="preserve">1. Wykonawca zobowiązany jest do stosowania klauzul społecznych przy realizacji zamówienia. Klauzule społeczne mają zastosowanie jeżeli Wykonawca jest </w:t>
      </w:r>
      <w:r>
        <w:rPr>
          <w:rFonts w:eastAsia="Arial" w:cs="Arial" w:ascii="Arial" w:hAnsi="Arial"/>
          <w:sz w:val="22"/>
          <w:szCs w:val="22"/>
        </w:rPr>
        <w:t>podmiotem ekonomii społecznej (PES), w rozumieniu ustawy z dnia 5 sierpnia 2022 r. o ekonomii społecznej lub Wykonawca wyraża chęć na zatrudnienie/oddelegowanie na potrzebę realizacji przedmiotu zamówienia minimum jedną osobę w trakcie trwania umowy z co najmniej jednej z poniższych grup:</w:t>
      </w:r>
    </w:p>
    <w:p>
      <w:pPr>
        <w:pStyle w:val="BodyText"/>
        <w:numPr>
          <w:ilvl w:val="0"/>
          <w:numId w:val="0"/>
        </w:numPr>
        <w:spacing w:lineRule="auto" w:line="240"/>
        <w:ind w:hanging="0" w:start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a) osób</w:t>
      </w:r>
      <w:r>
        <w:rPr>
          <w:rFonts w:eastAsia="Arial" w:cs="Arial" w:ascii="Arial" w:hAnsi="Arial"/>
          <w:spacing w:val="-4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bezrobotnych</w:t>
      </w:r>
      <w:r>
        <w:rPr>
          <w:rFonts w:eastAsia="Arial" w:cs="Arial" w:ascii="Arial" w:hAnsi="Arial"/>
          <w:spacing w:val="-6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w</w:t>
      </w:r>
      <w:r>
        <w:rPr>
          <w:rFonts w:eastAsia="Arial" w:cs="Arial" w:ascii="Arial" w:hAnsi="Arial"/>
          <w:spacing w:val="-7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rozumieniu</w:t>
      </w:r>
      <w:r>
        <w:rPr>
          <w:rFonts w:eastAsia="Arial" w:cs="Arial" w:ascii="Arial" w:hAnsi="Arial"/>
          <w:spacing w:val="-6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ustawy</w:t>
      </w:r>
      <w:r>
        <w:rPr>
          <w:rFonts w:eastAsia="Arial" w:cs="Arial" w:ascii="Arial" w:hAnsi="Arial"/>
          <w:spacing w:val="-4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z</w:t>
      </w:r>
      <w:r>
        <w:rPr>
          <w:rFonts w:eastAsia="Arial" w:cs="Arial" w:ascii="Arial" w:hAnsi="Arial"/>
          <w:spacing w:val="-4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dnia</w:t>
      </w:r>
      <w:r>
        <w:rPr>
          <w:rFonts w:eastAsia="Arial" w:cs="Arial" w:ascii="Arial" w:hAnsi="Arial"/>
          <w:spacing w:val="-4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20</w:t>
      </w:r>
      <w:r>
        <w:rPr>
          <w:rFonts w:eastAsia="Arial" w:cs="Arial" w:ascii="Arial" w:hAnsi="Arial"/>
          <w:spacing w:val="-6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kwietnia</w:t>
      </w:r>
      <w:r>
        <w:rPr>
          <w:rFonts w:eastAsia="Arial" w:cs="Arial" w:ascii="Arial" w:hAnsi="Arial"/>
          <w:spacing w:val="-4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2004</w:t>
      </w:r>
      <w:r>
        <w:rPr>
          <w:rFonts w:eastAsia="Arial" w:cs="Arial" w:ascii="Arial" w:hAnsi="Arial"/>
          <w:spacing w:val="-8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r.</w:t>
      </w:r>
      <w:r>
        <w:rPr>
          <w:rFonts w:eastAsia="Arial" w:cs="Arial" w:ascii="Arial" w:hAnsi="Arial"/>
          <w:spacing w:val="-6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o</w:t>
      </w:r>
      <w:r>
        <w:rPr>
          <w:rFonts w:eastAsia="Arial" w:cs="Arial" w:ascii="Arial" w:hAnsi="Arial"/>
          <w:spacing w:val="-6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promocji</w:t>
      </w:r>
      <w:r>
        <w:rPr>
          <w:rFonts w:eastAsia="Arial" w:cs="Arial" w:ascii="Arial" w:hAnsi="Arial"/>
          <w:spacing w:val="-7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zatrudnienia</w:t>
      </w:r>
      <w:r>
        <w:rPr>
          <w:rFonts w:eastAsia="Arial" w:cs="Arial" w:ascii="Arial" w:hAnsi="Arial"/>
          <w:spacing w:val="-3"/>
          <w:sz w:val="22"/>
          <w:szCs w:val="22"/>
        </w:rPr>
        <w:t xml:space="preserve"> </w:t>
      </w:r>
      <w:r>
        <w:rPr>
          <w:rFonts w:eastAsia="Arial" w:cs="Arial" w:ascii="Arial" w:hAnsi="Arial"/>
          <w:spacing w:val="-11"/>
          <w:sz w:val="22"/>
          <w:szCs w:val="22"/>
        </w:rPr>
        <w:t>i</w:t>
      </w:r>
      <w:r>
        <w:rPr>
          <w:rFonts w:eastAsia="Arial" w:cs="Arial" w:ascii="Arial" w:hAnsi="Arial"/>
          <w:sz w:val="22"/>
          <w:szCs w:val="22"/>
        </w:rPr>
        <w:t xml:space="preserve"> instytucjach</w:t>
      </w:r>
      <w:r>
        <w:rPr>
          <w:rFonts w:eastAsia="Arial" w:cs="Arial" w:ascii="Arial" w:hAnsi="Arial"/>
          <w:spacing w:val="-9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rynku</w:t>
      </w:r>
      <w:r>
        <w:rPr>
          <w:rFonts w:eastAsia="Arial" w:cs="Arial" w:ascii="Arial" w:hAnsi="Arial"/>
          <w:spacing w:val="-4"/>
          <w:sz w:val="22"/>
          <w:szCs w:val="22"/>
        </w:rPr>
        <w:t xml:space="preserve"> </w:t>
      </w:r>
      <w:r>
        <w:rPr>
          <w:rFonts w:eastAsia="Arial" w:cs="Arial" w:ascii="Arial" w:hAnsi="Arial"/>
          <w:spacing w:val="-2"/>
          <w:sz w:val="22"/>
          <w:szCs w:val="22"/>
        </w:rPr>
        <w:t>pracy;</w:t>
      </w:r>
    </w:p>
    <w:p>
      <w:pPr>
        <w:pStyle w:val="BodyText"/>
        <w:numPr>
          <w:ilvl w:val="0"/>
          <w:numId w:val="0"/>
        </w:numPr>
        <w:spacing w:lineRule="auto" w:line="240" w:before="126" w:after="140"/>
        <w:ind w:hanging="0" w:start="0"/>
        <w:jc w:val="both"/>
        <w:rPr/>
      </w:pPr>
      <w:r>
        <w:rPr>
          <w:rFonts w:eastAsia="Arial" w:cs="Arial" w:ascii="Arial" w:hAnsi="Arial"/>
          <w:sz w:val="22"/>
          <w:szCs w:val="22"/>
        </w:rPr>
        <w:t>b) młodocianych,</w:t>
      </w:r>
      <w:r>
        <w:rPr>
          <w:rFonts w:eastAsia="Arial" w:cs="Arial" w:ascii="Arial" w:hAnsi="Arial"/>
          <w:spacing w:val="18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o</w:t>
      </w:r>
      <w:r>
        <w:rPr>
          <w:rFonts w:eastAsia="Arial" w:cs="Arial" w:ascii="Arial" w:hAnsi="Arial"/>
          <w:spacing w:val="16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których</w:t>
      </w:r>
      <w:r>
        <w:rPr>
          <w:rFonts w:eastAsia="Arial" w:cs="Arial" w:ascii="Arial" w:hAnsi="Arial"/>
          <w:spacing w:val="17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mowa</w:t>
      </w:r>
      <w:r>
        <w:rPr>
          <w:rFonts w:eastAsia="Arial" w:cs="Arial" w:ascii="Arial" w:hAnsi="Arial"/>
          <w:spacing w:val="18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w</w:t>
      </w:r>
      <w:r>
        <w:rPr>
          <w:rFonts w:eastAsia="Arial" w:cs="Arial" w:ascii="Arial" w:hAnsi="Arial"/>
          <w:spacing w:val="16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przepisach</w:t>
      </w:r>
      <w:r>
        <w:rPr>
          <w:rFonts w:eastAsia="Arial" w:cs="Arial" w:ascii="Arial" w:hAnsi="Arial"/>
          <w:spacing w:val="18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prawa</w:t>
      </w:r>
      <w:r>
        <w:rPr>
          <w:rFonts w:eastAsia="Arial" w:cs="Arial" w:ascii="Arial" w:hAnsi="Arial"/>
          <w:spacing w:val="17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pracy,</w:t>
      </w:r>
      <w:r>
        <w:rPr>
          <w:rFonts w:eastAsia="Arial" w:cs="Arial" w:ascii="Arial" w:hAnsi="Arial"/>
          <w:spacing w:val="16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zatrudnionego/zatrudnionych</w:t>
      </w:r>
      <w:r>
        <w:rPr>
          <w:rFonts w:eastAsia="Arial" w:cs="Arial" w:ascii="Arial" w:hAnsi="Arial"/>
          <w:spacing w:val="19"/>
          <w:sz w:val="22"/>
          <w:szCs w:val="22"/>
        </w:rPr>
        <w:t xml:space="preserve"> </w:t>
      </w:r>
      <w:r>
        <w:rPr>
          <w:rFonts w:eastAsia="Arial" w:cs="Arial" w:ascii="Arial" w:hAnsi="Arial"/>
          <w:spacing w:val="-11"/>
          <w:sz w:val="22"/>
          <w:szCs w:val="22"/>
        </w:rPr>
        <w:t>w</w:t>
      </w:r>
      <w:r>
        <w:rPr>
          <w:rFonts w:eastAsia="Arial" w:cs="Arial" w:ascii="Arial" w:hAnsi="Arial"/>
          <w:sz w:val="22"/>
          <w:szCs w:val="22"/>
        </w:rPr>
        <w:t xml:space="preserve"> celu</w:t>
      </w:r>
      <w:r>
        <w:rPr>
          <w:rFonts w:eastAsia="Arial" w:cs="Arial" w:ascii="Arial" w:hAnsi="Arial"/>
          <w:spacing w:val="-9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przygotowania</w:t>
      </w:r>
      <w:r>
        <w:rPr>
          <w:rFonts w:eastAsia="Arial" w:cs="Arial" w:ascii="Arial" w:hAnsi="Arial"/>
          <w:spacing w:val="-4"/>
          <w:sz w:val="22"/>
          <w:szCs w:val="22"/>
        </w:rPr>
        <w:t xml:space="preserve"> </w:t>
      </w:r>
      <w:r>
        <w:rPr>
          <w:rFonts w:eastAsia="Arial" w:cs="Arial" w:ascii="Arial" w:hAnsi="Arial"/>
          <w:spacing w:val="-2"/>
          <w:sz w:val="22"/>
          <w:szCs w:val="22"/>
        </w:rPr>
        <w:t>zawodowego;</w:t>
      </w:r>
    </w:p>
    <w:p>
      <w:pPr>
        <w:pStyle w:val="BodyText"/>
        <w:numPr>
          <w:ilvl w:val="0"/>
          <w:numId w:val="0"/>
        </w:numPr>
        <w:spacing w:lineRule="auto" w:line="240" w:before="126" w:after="140"/>
        <w:ind w:hanging="0" w:start="0" w:end="143"/>
        <w:jc w:val="both"/>
        <w:rPr/>
      </w:pPr>
      <w:r>
        <w:rPr>
          <w:rFonts w:eastAsia="Arial" w:cs="Arial" w:ascii="Arial" w:hAnsi="Arial"/>
          <w:sz w:val="22"/>
          <w:szCs w:val="22"/>
        </w:rPr>
        <w:t>c) osób niepełnosprawnych w rozumieniu ustawy z dnia 27 sierpnia 1997 r. o rehabilitacji zawodowej i społecznej oraz zatrudnianiu osób niepełnosprawnych;</w:t>
      </w:r>
    </w:p>
    <w:p>
      <w:pPr>
        <w:pStyle w:val="BodyText"/>
        <w:numPr>
          <w:ilvl w:val="0"/>
          <w:numId w:val="0"/>
        </w:numPr>
        <w:spacing w:lineRule="auto" w:line="240" w:before="126" w:after="140"/>
        <w:ind w:hanging="0" w:start="0" w:end="143"/>
        <w:jc w:val="both"/>
        <w:rPr/>
      </w:pPr>
      <w:r>
        <w:rPr>
          <w:rFonts w:eastAsia="Arial" w:cs="Arial" w:ascii="Arial" w:hAnsi="Arial"/>
          <w:sz w:val="22"/>
          <w:szCs w:val="22"/>
        </w:rPr>
        <w:t>d) osób</w:t>
      </w:r>
      <w:r>
        <w:rPr>
          <w:rFonts w:eastAsia="Arial" w:cs="Arial" w:ascii="Arial" w:hAnsi="Arial"/>
          <w:spacing w:val="44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bezdomnych</w:t>
      </w:r>
      <w:r>
        <w:rPr>
          <w:rFonts w:eastAsia="Arial" w:cs="Arial" w:ascii="Arial" w:hAnsi="Arial"/>
          <w:spacing w:val="44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realizujących</w:t>
      </w:r>
      <w:r>
        <w:rPr>
          <w:rFonts w:eastAsia="Arial" w:cs="Arial" w:ascii="Arial" w:hAnsi="Arial"/>
          <w:spacing w:val="44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indywidualny</w:t>
      </w:r>
      <w:r>
        <w:rPr>
          <w:rFonts w:eastAsia="Arial" w:cs="Arial" w:ascii="Arial" w:hAnsi="Arial"/>
          <w:spacing w:val="44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program</w:t>
      </w:r>
      <w:r>
        <w:rPr>
          <w:rFonts w:eastAsia="Arial" w:cs="Arial" w:ascii="Arial" w:hAnsi="Arial"/>
          <w:spacing w:val="44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wychodzenia</w:t>
      </w:r>
      <w:r>
        <w:rPr>
          <w:rFonts w:eastAsia="Arial" w:cs="Arial" w:ascii="Arial" w:hAnsi="Arial"/>
          <w:spacing w:val="44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z</w:t>
      </w:r>
      <w:r>
        <w:rPr>
          <w:rFonts w:eastAsia="Arial" w:cs="Arial" w:ascii="Arial" w:hAnsi="Arial"/>
          <w:spacing w:val="44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bezdomności</w:t>
      </w:r>
      <w:r>
        <w:rPr>
          <w:rFonts w:eastAsia="Arial" w:cs="Arial" w:ascii="Arial" w:hAnsi="Arial"/>
          <w:spacing w:val="44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w rozumieniu przepisów o pomocy społecznej;</w:t>
      </w:r>
    </w:p>
    <w:p>
      <w:pPr>
        <w:pStyle w:val="BodyText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240"/>
        <w:ind w:hanging="0" w:start="0" w:end="143"/>
        <w:rPr/>
      </w:pPr>
      <w:r>
        <w:rPr>
          <w:rFonts w:eastAsia="Arial" w:cs="Arial" w:ascii="Arial" w:hAnsi="Arial"/>
          <w:sz w:val="22"/>
          <w:szCs w:val="22"/>
        </w:rPr>
        <w:t>e) uchodźców</w:t>
      </w:r>
      <w:r>
        <w:rPr>
          <w:rFonts w:eastAsia="Arial" w:cs="Arial" w:ascii="Arial" w:hAnsi="Arial"/>
          <w:spacing w:val="44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realizujących</w:t>
      </w:r>
      <w:r>
        <w:rPr>
          <w:rFonts w:eastAsia="Arial" w:cs="Arial" w:ascii="Arial" w:hAnsi="Arial"/>
          <w:spacing w:val="44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indywidualny</w:t>
      </w:r>
      <w:r>
        <w:rPr>
          <w:rFonts w:eastAsia="Arial" w:cs="Arial" w:ascii="Arial" w:hAnsi="Arial"/>
          <w:spacing w:val="44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program</w:t>
      </w:r>
      <w:r>
        <w:rPr>
          <w:rFonts w:eastAsia="Arial" w:cs="Arial" w:ascii="Arial" w:hAnsi="Arial"/>
          <w:spacing w:val="44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integracji,</w:t>
      </w:r>
      <w:r>
        <w:rPr>
          <w:rFonts w:eastAsia="Arial" w:cs="Arial" w:ascii="Arial" w:hAnsi="Arial"/>
          <w:spacing w:val="44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w</w:t>
      </w:r>
      <w:r>
        <w:rPr>
          <w:rFonts w:eastAsia="Arial" w:cs="Arial" w:ascii="Arial" w:hAnsi="Arial"/>
          <w:spacing w:val="44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rozumieniu</w:t>
      </w:r>
      <w:r>
        <w:rPr>
          <w:rFonts w:eastAsia="Arial" w:cs="Arial" w:ascii="Arial" w:hAnsi="Arial"/>
          <w:spacing w:val="44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przepisów</w:t>
      </w:r>
      <w:r>
        <w:rPr>
          <w:rFonts w:eastAsia="Arial" w:cs="Arial" w:ascii="Arial" w:hAnsi="Arial"/>
          <w:spacing w:val="44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o</w:t>
      </w:r>
      <w:r>
        <w:rPr>
          <w:rFonts w:eastAsia="Arial" w:cs="Arial" w:ascii="Arial" w:hAnsi="Arial"/>
          <w:spacing w:val="44"/>
          <w:sz w:val="22"/>
          <w:szCs w:val="22"/>
        </w:rPr>
        <w:t> </w:t>
      </w:r>
      <w:r>
        <w:rPr>
          <w:rFonts w:eastAsia="Arial" w:cs="Arial" w:ascii="Arial" w:hAnsi="Arial"/>
          <w:sz w:val="22"/>
          <w:szCs w:val="22"/>
        </w:rPr>
        <w:t>pomocy społecznej;</w:t>
      </w:r>
    </w:p>
    <w:p>
      <w:pPr>
        <w:pStyle w:val="Normal"/>
        <w:jc w:val="both"/>
        <w:rPr>
          <w:rFonts w:ascii="Arial" w:hAnsi="Arial" w:eastAsia="Arial" w:cs="Arial"/>
          <w:color w:val="000000"/>
          <w:sz w:val="22"/>
          <w:szCs w:val="22"/>
          <w:shd w:fill="FFFFFF" w:val="clear"/>
        </w:rPr>
      </w:pPr>
      <w:r>
        <w:rPr>
          <w:rFonts w:eastAsia="Arial" w:cs="Arial" w:ascii="Arial" w:hAnsi="Arial"/>
          <w:color w:val="000000"/>
          <w:sz w:val="22"/>
          <w:szCs w:val="22"/>
          <w:shd w:fill="FFFFFF" w:val="clear"/>
        </w:rPr>
        <w:t>która będzie wykonywać co najmniej jedną z następujących czynności:</w:t>
      </w:r>
    </w:p>
    <w:p>
      <w:pPr>
        <w:pStyle w:val="Normal"/>
        <w:rPr>
          <w:rFonts w:ascii="Arial" w:hAnsi="Arial" w:eastAsia="Arial" w:cs="Arial"/>
          <w:color w:val="000000"/>
          <w:sz w:val="22"/>
          <w:szCs w:val="22"/>
          <w:shd w:fill="FFFFFF" w:val="clear"/>
        </w:rPr>
      </w:pPr>
      <w:r>
        <w:rPr>
          <w:rFonts w:eastAsia="Arial" w:cs="Arial" w:ascii="Arial" w:hAnsi="Arial"/>
          <w:color w:val="000000"/>
          <w:sz w:val="22"/>
          <w:szCs w:val="22"/>
          <w:shd w:fill="FFFFFF" w:val="clear"/>
        </w:rPr>
        <w:t>a) kompletowanie zamówienia,</w:t>
        <w:br/>
        <w:t>b) pakowanie pomocy dydaktycznych,</w:t>
        <w:br/>
        <w:t>c) przygotowanie przesyłek do transportu,</w:t>
        <w:br/>
        <w:t>d) załadunek i rozładunek pomocy,</w:t>
        <w:br/>
        <w:t>e) kontrola ilościowa zamówienia,</w:t>
        <w:br/>
        <w:t>f) przygotowanie dokumentów związanych z przekazaniem zamówienia.</w:t>
      </w:r>
    </w:p>
    <w:p>
      <w:pPr>
        <w:pStyle w:val="Normal"/>
        <w:jc w:val="start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2. Zatrudnienie osoby z grup wskazanych w pkt 1 przy realizacji zamówienia będzie zapewnione przez cały okres realizacji zamówienia. W przypadku zaprzestania zatrudnienia tej osoby przed upływem tego okresu, Wykonawca będzie zobowiązany do zatrudnienia innej osoby zaliczającej się do grup wskazanych w pkt 1;</w:t>
      </w:r>
    </w:p>
    <w:p>
      <w:pPr>
        <w:pStyle w:val="Normal"/>
        <w:jc w:val="start"/>
        <w:rPr/>
      </w:pPr>
      <w:r>
        <w:rPr>
          <w:rFonts w:eastAsia="Arial" w:cs="Arial" w:ascii="Arial" w:hAnsi="Arial"/>
          <w:sz w:val="22"/>
          <w:szCs w:val="22"/>
        </w:rPr>
        <w:t>3. Zamawiający ma prawo na każdym etapie realizacji zamówienia zwrócić się do Wykonawcy o przedstawienie dokumentacji potwierdzającej status osoby zatrudnionej, natomiast Wykonawca ma obowiązek przedstawić ją Zamawiającemu w terminie nie dłuższym niż 5 dni roboczych, w sposób zapewniający ochronę danych osobowych, zgodnie z powszechnie obowiązującymi przepisami o ochronie danych osobowych. W szczególności Zamawiający ma prawo wymagać oświadczenia Wykonawcy o zatrudnieniu przy realizacji zamówienia ww. osoby.</w:t>
      </w:r>
    </w:p>
    <w:p>
      <w:pPr>
        <w:pStyle w:val="Normal"/>
        <w:spacing w:before="0" w:after="0"/>
        <w:jc w:val="start"/>
        <w:rPr/>
      </w:pPr>
      <w:r>
        <w:rPr>
          <w:rFonts w:eastAsia="Arial" w:cs="Arial" w:ascii="Arial" w:hAnsi="Arial"/>
          <w:sz w:val="22"/>
          <w:szCs w:val="22"/>
        </w:rPr>
        <w:t>4. Oświadczenie musi zawierać:</w:t>
      </w:r>
    </w:p>
    <w:p>
      <w:pPr>
        <w:pStyle w:val="Normal"/>
        <w:spacing w:before="0" w:after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a) nazwa i adres wykonawcy,</w:t>
      </w:r>
    </w:p>
    <w:p>
      <w:pPr>
        <w:pStyle w:val="Normal"/>
        <w:spacing w:before="0" w:after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b) datę złożenia oświadczenia,</w:t>
      </w:r>
    </w:p>
    <w:p>
      <w:pPr>
        <w:pStyle w:val="Normal"/>
        <w:spacing w:before="0" w:after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c) informację o zatrudnieniu przy realizacji zamówienia osoby, o której mowa w pkt 1</w:t>
      </w:r>
    </w:p>
    <w:p>
      <w:pPr>
        <w:pStyle w:val="Normal"/>
        <w:spacing w:before="0" w:after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d) podpis osoby uprawnionej do złożenia oświadczenia w imieniu Wykonawcy.</w:t>
      </w:r>
    </w:p>
    <w:p>
      <w:pPr>
        <w:pStyle w:val="Normal"/>
        <w:widowControl w:val="false"/>
        <w:spacing w:before="0" w:after="0"/>
        <w:ind w:start="720"/>
        <w:rPr>
          <w:rFonts w:ascii="Arial" w:hAnsi="Arial"/>
          <w:sz w:val="22"/>
          <w:szCs w:val="22"/>
        </w:rPr>
      </w:pPr>
      <w:r>
        <w:rPr>
          <w:rFonts w:eastAsia="Arial" w:cs="Arial"/>
          <w:b/>
          <w:color w:val="000000"/>
          <w:lang w:eastAsia="zh-CN" w:bidi="hi-IN"/>
        </w:rPr>
      </w:r>
    </w:p>
    <w:p>
      <w:pPr>
        <w:pStyle w:val="Normal"/>
        <w:widowControl w:val="false"/>
        <w:spacing w:before="0" w:after="0"/>
        <w:ind w:start="720"/>
        <w:rPr>
          <w:rFonts w:ascii="Arial" w:hAnsi="Arial"/>
          <w:sz w:val="22"/>
          <w:szCs w:val="22"/>
        </w:rPr>
      </w:pPr>
      <w:r>
        <w:rPr>
          <w:rFonts w:eastAsia="Arial" w:cs="Arial"/>
          <w:b/>
          <w:color w:val="000000"/>
          <w:lang w:eastAsia="zh-CN" w:bidi="hi-IN"/>
        </w:rPr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ind w:hanging="360" w:start="72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  <w:lang w:eastAsia="zh-CN" w:bidi="hi-IN"/>
        </w:rPr>
        <w:t>Procedura wyjaśniania i zmiany treści zapytania ofertowego.</w:t>
      </w:r>
    </w:p>
    <w:p>
      <w:pPr>
        <w:pStyle w:val="Normal"/>
        <w:widowControl w:val="false"/>
        <w:numPr>
          <w:ilvl w:val="0"/>
          <w:numId w:val="5"/>
        </w:numPr>
        <w:spacing w:before="0" w:after="0"/>
        <w:ind w:hanging="340" w:start="68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Wykonawca może zwrócić się do Zamawiającego z wnioskiem o wyjaśnienie treści zapytania ofertowego. Zamawiający udzieli wyjaśnień niezwłocznie, jednak nie później niż na 2 dni przed upływem terminu składania ofert, pod warunkiem, że wniosek o wyjaśnienie treści zapytania ofertowego wpłynął do Zamawiającego nie później niż na 4 dni przed upływem terminu składania ofert. W przypadku gdy wniosek o wyjaśnienie treści zapytania ofertowego nie wpłynął w terminie, o którym mowa w zdaniu poprzednim, Zamawiający nie ma obowiązku udzielania wyjaśnień oraz obowiązku przedłużania terminu składania ofert.</w:t>
      </w:r>
    </w:p>
    <w:p>
      <w:pPr>
        <w:pStyle w:val="Normal"/>
        <w:widowControl w:val="false"/>
        <w:numPr>
          <w:ilvl w:val="0"/>
          <w:numId w:val="5"/>
        </w:numPr>
        <w:spacing w:before="0" w:after="0"/>
        <w:ind w:hanging="340" w:start="68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Zapytanie ofertowe może zostać zmienione przed upływem terminu składania ofert. Zamawiający informuje w zapytaniu ofertowym o zakresie zmian. Zamawiający przedłuża termin składania ofert o czas niezbędny do wprowadzenia zmian w ofertach, jeżeli jest to konieczne z uwagi na zakres wprowadzonych zmian.</w:t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hanging="0" w:start="68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widowControl w:val="false"/>
        <w:spacing w:before="0" w:after="0"/>
        <w:rPr>
          <w:rFonts w:ascii="Arial" w:hAnsi="Arial" w:eastAsia="Linux Libertine G" w:cs="Arial"/>
          <w:sz w:val="22"/>
          <w:szCs w:val="22"/>
          <w:lang w:eastAsia="zh-CN" w:bidi="hi-IN"/>
        </w:rPr>
      </w:pPr>
      <w:r>
        <w:rPr>
          <w:rFonts w:eastAsia="Linux Libertine G" w:cs="Arial" w:ascii="Arial" w:hAnsi="Arial"/>
          <w:sz w:val="22"/>
          <w:szCs w:val="22"/>
          <w:lang w:eastAsia="zh-CN" w:bidi="hi-IN"/>
        </w:rPr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ind w:hanging="360" w:start="72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  <w:lang w:eastAsia="zh-CN" w:bidi="hi-IN"/>
        </w:rPr>
        <w:t>Informacja o wyniku postępowania.</w:t>
      </w:r>
    </w:p>
    <w:p>
      <w:pPr>
        <w:pStyle w:val="Normal"/>
        <w:widowControl w:val="false"/>
        <w:numPr>
          <w:ilvl w:val="0"/>
          <w:numId w:val="9"/>
        </w:numPr>
        <w:spacing w:before="0" w:after="0"/>
        <w:ind w:hanging="340" w:start="737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Informację o wyniku postępowania Zamawiający ogłasza w bazie konkurencyjności</w:t>
      </w:r>
    </w:p>
    <w:p>
      <w:pPr>
        <w:pStyle w:val="Normal"/>
        <w:widowControl w:val="false"/>
        <w:numPr>
          <w:ilvl w:val="0"/>
          <w:numId w:val="9"/>
        </w:numPr>
        <w:spacing w:before="0" w:after="0"/>
        <w:ind w:hanging="340" w:start="737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Zamawiający wybiera najkorzystniejszą ofertę zgodną z opisem przedmiotu zamówienia, złożoną przez Wykonawcę spełniającego warunki udziału w postępowaniu, w oparciu o ustalone w zapytaniu ofertowym kryteria oceny ofert, spośród złożonych ofert. Zamawiający analizuje treść ofert po upływie terminu wyznaczonego na ich składanie.</w:t>
      </w:r>
    </w:p>
    <w:p>
      <w:pPr>
        <w:pStyle w:val="Normal"/>
        <w:widowControl w:val="false"/>
        <w:numPr>
          <w:ilvl w:val="0"/>
          <w:numId w:val="9"/>
        </w:numPr>
        <w:spacing w:before="0" w:after="0"/>
        <w:ind w:hanging="340" w:start="737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Jeżeli zaoferowana cena wydaje się rażąco niska w stosunku do przedmiotu zamówienia, tj. różni się więcej niż 30% od średniej arytmetycznej cen wszystkich ważnych ofert niepodlegających odrzuceniu, lub budzi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ceny. Zamawiający ocenia te wyjaśnienia i może odrzucić tę ofertę wyłącznie w przypadku, gdy złożone wyjaśnienia wraz z dowodami nie uzasadniają podanej ceny w tej ofercie.</w:t>
      </w:r>
    </w:p>
    <w:p>
      <w:pPr>
        <w:pStyle w:val="Normal"/>
        <w:widowControl w:val="false"/>
        <w:numPr>
          <w:ilvl w:val="0"/>
          <w:numId w:val="9"/>
        </w:numPr>
        <w:spacing w:before="0" w:after="0"/>
        <w:ind w:hanging="340" w:start="737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Jeżeli Wykonawca nie złożył oświadczeń lub dokumentów określonych w treści zapytania ofertowego lub są one niekompletne lub zawierają błędy, Zamawiający wzywa Wykonawcę odpowiednio do ich złożenia, poprawienia lub uzupełnienia w wyznaczonym terminie, chyba że zachodzą przesłanki unieważnienia postępowania. Formularz ofertowy oraz przedmiotowe środki dowodowe (jeżeli Zamawiający żąda ich złożenia) nie podlegają uzupełnieniu.</w:t>
      </w:r>
    </w:p>
    <w:p>
      <w:pPr>
        <w:pStyle w:val="Normal"/>
        <w:widowControl w:val="false"/>
        <w:numPr>
          <w:ilvl w:val="0"/>
          <w:numId w:val="9"/>
        </w:numPr>
        <w:spacing w:before="0" w:after="0"/>
        <w:ind w:hanging="340" w:start="737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Zamawiający może żądać od Wykonawców wyjaśnień dotyczących treści oświadczeń i dokumentów określonych w treści zapytania ofertowego.</w:t>
      </w:r>
    </w:p>
    <w:p>
      <w:pPr>
        <w:pStyle w:val="Normal"/>
        <w:widowControl w:val="false"/>
        <w:numPr>
          <w:ilvl w:val="0"/>
          <w:numId w:val="9"/>
        </w:numPr>
        <w:spacing w:before="0" w:after="0"/>
        <w:ind w:hanging="340" w:start="737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Zamawiający odrzuca ofertę, jeżeli:</w:t>
      </w:r>
    </w:p>
    <w:p>
      <w:pPr>
        <w:pStyle w:val="Normal"/>
        <w:widowControl w:val="false"/>
        <w:numPr>
          <w:ilvl w:val="0"/>
          <w:numId w:val="10"/>
        </w:numPr>
        <w:spacing w:before="0" w:after="0"/>
        <w:ind w:hanging="340" w:start="1077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została złożona przez Wykonawcę:</w:t>
      </w:r>
    </w:p>
    <w:p>
      <w:pPr>
        <w:pStyle w:val="Normal"/>
        <w:widowControl w:val="false"/>
        <w:numPr>
          <w:ilvl w:val="0"/>
          <w:numId w:val="11"/>
        </w:numPr>
        <w:spacing w:before="0" w:after="0"/>
        <w:ind w:hanging="340" w:start="1304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podlegającego wykluczeniu z postępowania lub</w:t>
      </w:r>
    </w:p>
    <w:p>
      <w:pPr>
        <w:pStyle w:val="Normal"/>
        <w:widowControl w:val="false"/>
        <w:numPr>
          <w:ilvl w:val="0"/>
          <w:numId w:val="11"/>
        </w:numPr>
        <w:spacing w:before="0" w:after="0"/>
        <w:ind w:hanging="340" w:start="1304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niespełniającego warunków udziału w postępowaniu, lub</w:t>
      </w:r>
    </w:p>
    <w:p>
      <w:pPr>
        <w:pStyle w:val="Normal"/>
        <w:widowControl w:val="false"/>
        <w:numPr>
          <w:ilvl w:val="0"/>
          <w:numId w:val="11"/>
        </w:numPr>
        <w:spacing w:before="0" w:after="0"/>
        <w:ind w:hanging="340" w:start="1304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który nie złożył w przewidzianym terminie oświadczeń lub dokumentów określonych w treści zapytania ofertowego,</w:t>
      </w:r>
    </w:p>
    <w:p>
      <w:pPr>
        <w:pStyle w:val="Normal"/>
        <w:widowControl w:val="false"/>
        <w:numPr>
          <w:ilvl w:val="0"/>
          <w:numId w:val="10"/>
        </w:numPr>
        <w:spacing w:before="0" w:after="0"/>
        <w:ind w:hanging="340" w:start="1077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jej treść jest niezgodna z warunkami zamówienia,</w:t>
      </w:r>
    </w:p>
    <w:p>
      <w:pPr>
        <w:pStyle w:val="Normal"/>
        <w:widowControl w:val="false"/>
        <w:numPr>
          <w:ilvl w:val="0"/>
          <w:numId w:val="10"/>
        </w:numPr>
        <w:spacing w:before="0" w:after="0"/>
        <w:ind w:hanging="340" w:start="1077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nie została sporządzona oraz przekazana w sposób zgodny z wymaganiami określonymi w dziale II, VII i XI zapytania ofertowego,</w:t>
      </w:r>
    </w:p>
    <w:p>
      <w:pPr>
        <w:pStyle w:val="Normal"/>
        <w:widowControl w:val="false"/>
        <w:numPr>
          <w:ilvl w:val="0"/>
          <w:numId w:val="10"/>
        </w:numPr>
        <w:spacing w:before="0" w:after="0"/>
        <w:ind w:hanging="340" w:start="1077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zawiera rażąco niską cenę.</w:t>
      </w:r>
    </w:p>
    <w:p>
      <w:pPr>
        <w:pStyle w:val="Normal"/>
        <w:widowControl w:val="false"/>
        <w:numPr>
          <w:ilvl w:val="0"/>
          <w:numId w:val="9"/>
        </w:numPr>
        <w:spacing w:before="0" w:after="0"/>
        <w:ind w:hanging="340" w:start="737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Zamawiający unieważnia postępowanie o zamówienie, w szczególności jeżeli:</w:t>
      </w:r>
    </w:p>
    <w:p>
      <w:pPr>
        <w:pStyle w:val="Normal"/>
        <w:widowControl w:val="false"/>
        <w:numPr>
          <w:ilvl w:val="0"/>
          <w:numId w:val="12"/>
        </w:numPr>
        <w:spacing w:before="0" w:after="0"/>
        <w:ind w:hanging="360" w:start="144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nie złożono żadnej oferty,</w:t>
      </w:r>
    </w:p>
    <w:p>
      <w:pPr>
        <w:pStyle w:val="Normal"/>
        <w:widowControl w:val="false"/>
        <w:numPr>
          <w:ilvl w:val="0"/>
          <w:numId w:val="12"/>
        </w:numPr>
        <w:spacing w:before="0" w:after="0"/>
        <w:ind w:hanging="360" w:start="144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wszystkie złożone oferty podlegały odrzuceniu,</w:t>
      </w:r>
    </w:p>
    <w:p>
      <w:pPr>
        <w:pStyle w:val="Normal"/>
        <w:widowControl w:val="false"/>
        <w:numPr>
          <w:ilvl w:val="0"/>
          <w:numId w:val="12"/>
        </w:numPr>
        <w:spacing w:before="0" w:after="0"/>
        <w:ind w:hanging="360" w:start="144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  <w:lang w:eastAsia="zh-CN" w:bidi="hi-IN"/>
        </w:rPr>
        <w:t>cena najkorzystniejszej oferty lub oferta z najniższą ceną przewyższa kwotę, którą Zamawiający zamierza przeznaczyć na sfinansowanie zamówienia.</w:t>
      </w:r>
    </w:p>
    <w:p>
      <w:pPr>
        <w:pStyle w:val="Normal"/>
        <w:widowControl w:val="false"/>
        <w:numPr>
          <w:ilvl w:val="0"/>
          <w:numId w:val="12"/>
        </w:numPr>
        <w:spacing w:before="0" w:after="0"/>
        <w:ind w:hanging="360" w:start="144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postępowanie obarczone jest wadą powodującą, że zawarta umowa będzie sprzeczna z postanowieniami umowy lub wniosku o dofinansowanie projektu.</w:t>
      </w:r>
    </w:p>
    <w:p>
      <w:pPr>
        <w:pStyle w:val="Normal"/>
        <w:widowControl w:val="false"/>
        <w:spacing w:before="0" w:after="0"/>
        <w:ind w:start="1440"/>
        <w:rPr>
          <w:rFonts w:eastAsia="Arial" w:cs="Arial"/>
          <w:color w:val="000000"/>
          <w:lang w:eastAsia="zh-CN" w:bidi="hi-IN"/>
        </w:rPr>
      </w:pPr>
      <w:r>
        <w:rPr>
          <w:rFonts w:eastAsia="Arial" w:cs="Arial"/>
          <w:color w:val="000000"/>
          <w:lang w:eastAsia="zh-CN" w:bidi="hi-IN"/>
        </w:rPr>
      </w:r>
    </w:p>
    <w:p>
      <w:pPr>
        <w:pStyle w:val="Standard"/>
        <w:numPr>
          <w:ilvl w:val="0"/>
          <w:numId w:val="2"/>
        </w:numPr>
        <w:spacing w:lineRule="auto" w:line="276"/>
        <w:ind w:hanging="360" w:start="720"/>
        <w:rPr>
          <w:rFonts w:ascii="Arial" w:hAnsi="Arial"/>
        </w:rPr>
      </w:pPr>
      <w:bookmarkStart w:id="0" w:name="_Hlk192617161"/>
      <w:r>
        <w:rPr>
          <w:rFonts w:eastAsia="Arial" w:cs="Arial" w:ascii="Arial" w:hAnsi="Arial"/>
          <w:b/>
          <w:color w:val="000000"/>
        </w:rPr>
        <w:t>Klauzule informacyjne RODO</w:t>
      </w:r>
      <w:bookmarkEnd w:id="0"/>
    </w:p>
    <w:p>
      <w:pPr>
        <w:pStyle w:val="Default"/>
        <w:numPr>
          <w:ilvl w:val="3"/>
          <w:numId w:val="2"/>
        </w:numPr>
        <w:spacing w:lineRule="auto" w:line="276"/>
        <w:ind w:hanging="360" w:start="502"/>
        <w:rPr>
          <w:sz w:val="22"/>
          <w:szCs w:val="22"/>
        </w:rPr>
      </w:pPr>
      <w:r>
        <w:rPr>
          <w:sz w:val="22"/>
          <w:szCs w:val="22"/>
        </w:rPr>
        <w:t xml:space="preserve">Stanowią załączniki nr 10 i 11 </w:t>
      </w:r>
      <w:r>
        <w:rPr>
          <w:sz w:val="22"/>
          <w:szCs w:val="22"/>
        </w:rPr>
        <w:t xml:space="preserve">niniejszego </w:t>
      </w:r>
      <w:r>
        <w:rPr>
          <w:sz w:val="22"/>
          <w:szCs w:val="22"/>
        </w:rPr>
        <w:t>do zapytania.</w:t>
      </w:r>
    </w:p>
    <w:p>
      <w:pPr>
        <w:pStyle w:val="Default"/>
        <w:spacing w:lineRule="auto" w:line="276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276"/>
        <w:rPr>
          <w:sz w:val="22"/>
          <w:szCs w:val="22"/>
        </w:rPr>
      </w:pPr>
      <w:r>
        <w:rPr>
          <w:sz w:val="22"/>
          <w:szCs w:val="22"/>
        </w:rPr>
        <w:t xml:space="preserve">Załączniki: </w:t>
      </w:r>
    </w:p>
    <w:p>
      <w:pPr>
        <w:pStyle w:val="Default"/>
        <w:numPr>
          <w:ilvl w:val="0"/>
          <w:numId w:val="6"/>
        </w:numPr>
        <w:spacing w:lineRule="auto" w:line="276"/>
        <w:ind w:hanging="360" w:start="720"/>
        <w:rPr>
          <w:sz w:val="22"/>
          <w:szCs w:val="22"/>
        </w:rPr>
      </w:pPr>
      <w:r>
        <w:rPr>
          <w:sz w:val="22"/>
          <w:szCs w:val="22"/>
        </w:rPr>
        <w:t>Szczegółowy opis przedmiotu zamówienia – pomoce dydaktyczne,</w:t>
      </w:r>
    </w:p>
    <w:p>
      <w:pPr>
        <w:pStyle w:val="Default"/>
        <w:numPr>
          <w:ilvl w:val="0"/>
          <w:numId w:val="6"/>
        </w:numPr>
        <w:spacing w:lineRule="auto" w:line="276"/>
        <w:ind w:hanging="360" w:start="720"/>
        <w:rPr>
          <w:sz w:val="22"/>
          <w:szCs w:val="22"/>
        </w:rPr>
      </w:pPr>
      <w:r>
        <w:rPr>
          <w:sz w:val="22"/>
          <w:szCs w:val="22"/>
        </w:rPr>
        <w:t>Szczegółowy opis przedmiotu zamówienia – sprzęt TIK,</w:t>
      </w:r>
    </w:p>
    <w:p>
      <w:pPr>
        <w:pStyle w:val="Default"/>
        <w:numPr>
          <w:ilvl w:val="0"/>
          <w:numId w:val="6"/>
        </w:numPr>
        <w:spacing w:lineRule="auto" w:line="276"/>
        <w:ind w:hanging="360" w:start="720"/>
        <w:rPr>
          <w:sz w:val="22"/>
          <w:szCs w:val="22"/>
        </w:rPr>
      </w:pPr>
      <w:r>
        <w:rPr>
          <w:sz w:val="22"/>
          <w:szCs w:val="22"/>
        </w:rPr>
        <w:t>Formularz ofertowy,</w:t>
      </w:r>
    </w:p>
    <w:p>
      <w:pPr>
        <w:pStyle w:val="Default"/>
        <w:numPr>
          <w:ilvl w:val="0"/>
          <w:numId w:val="6"/>
        </w:numPr>
        <w:spacing w:lineRule="auto" w:line="276"/>
        <w:ind w:hanging="360" w:start="720"/>
        <w:rPr>
          <w:sz w:val="22"/>
          <w:szCs w:val="22"/>
        </w:rPr>
      </w:pPr>
      <w:r>
        <w:rPr>
          <w:sz w:val="22"/>
          <w:szCs w:val="22"/>
        </w:rPr>
        <w:t>Załącznik do formularza ofertowego – pomoce dydaktyczne,</w:t>
      </w:r>
    </w:p>
    <w:p>
      <w:pPr>
        <w:pStyle w:val="Default"/>
        <w:numPr>
          <w:ilvl w:val="0"/>
          <w:numId w:val="6"/>
        </w:numPr>
        <w:spacing w:lineRule="auto" w:line="276"/>
        <w:ind w:hanging="360" w:start="720"/>
        <w:rPr>
          <w:sz w:val="22"/>
          <w:szCs w:val="22"/>
        </w:rPr>
      </w:pPr>
      <w:r>
        <w:rPr>
          <w:sz w:val="22"/>
          <w:szCs w:val="22"/>
        </w:rPr>
        <w:t>Załącznik do formularza ofertowego – sprzęt TIK,</w:t>
      </w:r>
    </w:p>
    <w:p>
      <w:pPr>
        <w:pStyle w:val="Default"/>
        <w:numPr>
          <w:ilvl w:val="0"/>
          <w:numId w:val="6"/>
        </w:numPr>
        <w:spacing w:lineRule="auto" w:line="276"/>
        <w:ind w:hanging="360" w:start="720"/>
        <w:rPr>
          <w:sz w:val="22"/>
          <w:szCs w:val="22"/>
        </w:rPr>
      </w:pPr>
      <w:r>
        <w:rPr>
          <w:sz w:val="22"/>
          <w:szCs w:val="22"/>
        </w:rPr>
        <w:t>Zaświadczenie organu prowadzącego</w:t>
      </w:r>
    </w:p>
    <w:p>
      <w:pPr>
        <w:pStyle w:val="Default"/>
        <w:numPr>
          <w:ilvl w:val="0"/>
          <w:numId w:val="6"/>
        </w:numPr>
        <w:spacing w:lineRule="auto" w:line="276"/>
        <w:ind w:hanging="360" w:start="720"/>
        <w:rPr>
          <w:sz w:val="22"/>
          <w:szCs w:val="22"/>
        </w:rPr>
      </w:pPr>
      <w:r>
        <w:rPr>
          <w:sz w:val="22"/>
          <w:szCs w:val="22"/>
        </w:rPr>
        <w:t>Oświadczenie dotyczące szczególnych rozwiązań w zakresie przeciwdziałania wspierania agresji na Ukrainę oraz służących ochronie bezpieczeństwa narodowego,</w:t>
      </w:r>
    </w:p>
    <w:p>
      <w:pPr>
        <w:pStyle w:val="Default"/>
        <w:numPr>
          <w:ilvl w:val="0"/>
          <w:numId w:val="6"/>
        </w:numPr>
        <w:ind w:hanging="360" w:start="720"/>
        <w:rPr>
          <w:sz w:val="22"/>
          <w:szCs w:val="22"/>
        </w:rPr>
      </w:pPr>
      <w:r>
        <w:rPr>
          <w:sz w:val="22"/>
          <w:szCs w:val="22"/>
        </w:rPr>
        <w:t xml:space="preserve">Oświadczenie o braku powiązań osobowych i kapitałowych, </w:t>
      </w:r>
    </w:p>
    <w:p>
      <w:pPr>
        <w:pStyle w:val="Title"/>
        <w:numPr>
          <w:ilvl w:val="0"/>
          <w:numId w:val="6"/>
        </w:numPr>
        <w:spacing w:lineRule="auto" w:line="240" w:before="40" w:after="40"/>
        <w:ind w:hanging="360" w:start="720"/>
        <w:jc w:val="both"/>
        <w:rPr>
          <w:rFonts w:eastAsia="Arial"/>
          <w:b w:val="false"/>
          <w:bCs w:val="false"/>
          <w:sz w:val="22"/>
          <w:szCs w:val="22"/>
        </w:rPr>
      </w:pPr>
      <w:r>
        <w:rPr>
          <w:rFonts w:eastAsia="Arial"/>
          <w:b w:val="false"/>
          <w:bCs w:val="false"/>
          <w:sz w:val="22"/>
          <w:szCs w:val="22"/>
        </w:rPr>
        <w:t>Oświadczenie</w:t>
      </w:r>
      <w:r>
        <w:rPr>
          <w:rFonts w:eastAsia="Arial"/>
          <w:b w:val="false"/>
          <w:bCs w:val="false"/>
          <w:spacing w:val="-10"/>
          <w:sz w:val="22"/>
          <w:szCs w:val="22"/>
        </w:rPr>
        <w:t xml:space="preserve"> </w:t>
      </w:r>
      <w:r>
        <w:rPr>
          <w:rFonts w:eastAsia="Arial"/>
          <w:b w:val="false"/>
          <w:bCs w:val="false"/>
          <w:sz w:val="22"/>
          <w:szCs w:val="22"/>
        </w:rPr>
        <w:t>o</w:t>
      </w:r>
      <w:r>
        <w:rPr>
          <w:rFonts w:eastAsia="Arial"/>
          <w:b w:val="false"/>
          <w:bCs w:val="false"/>
          <w:spacing w:val="-6"/>
          <w:sz w:val="22"/>
          <w:szCs w:val="22"/>
        </w:rPr>
        <w:t xml:space="preserve"> </w:t>
      </w:r>
      <w:r>
        <w:rPr>
          <w:rFonts w:eastAsia="Arial"/>
          <w:b w:val="false"/>
          <w:bCs w:val="false"/>
          <w:sz w:val="22"/>
          <w:szCs w:val="22"/>
        </w:rPr>
        <w:t>spełnieniu/</w:t>
      </w:r>
      <w:r>
        <w:rPr>
          <w:rFonts w:eastAsia="Arial"/>
          <w:b w:val="false"/>
          <w:bCs w:val="false"/>
          <w:spacing w:val="-5"/>
          <w:sz w:val="22"/>
          <w:szCs w:val="22"/>
        </w:rPr>
        <w:t xml:space="preserve"> </w:t>
      </w:r>
      <w:r>
        <w:rPr>
          <w:rFonts w:eastAsia="Arial"/>
          <w:b w:val="false"/>
          <w:bCs w:val="false"/>
          <w:sz w:val="22"/>
          <w:szCs w:val="22"/>
        </w:rPr>
        <w:t>niespełnianiu</w:t>
      </w:r>
      <w:r>
        <w:rPr>
          <w:rFonts w:eastAsia="Arial"/>
          <w:b w:val="false"/>
          <w:bCs w:val="false"/>
          <w:spacing w:val="-5"/>
          <w:sz w:val="22"/>
          <w:szCs w:val="22"/>
        </w:rPr>
        <w:t xml:space="preserve"> </w:t>
      </w:r>
      <w:r>
        <w:rPr>
          <w:rFonts w:eastAsia="Arial"/>
          <w:b w:val="false"/>
          <w:bCs w:val="false"/>
          <w:sz w:val="22"/>
          <w:szCs w:val="22"/>
        </w:rPr>
        <w:t>klauzul</w:t>
      </w:r>
      <w:r>
        <w:rPr>
          <w:rFonts w:eastAsia="Arial"/>
          <w:b w:val="false"/>
          <w:bCs w:val="false"/>
          <w:spacing w:val="-8"/>
          <w:sz w:val="22"/>
          <w:szCs w:val="22"/>
        </w:rPr>
        <w:t xml:space="preserve"> </w:t>
      </w:r>
      <w:r>
        <w:rPr>
          <w:rFonts w:eastAsia="Arial"/>
          <w:b w:val="false"/>
          <w:bCs w:val="false"/>
          <w:spacing w:val="-2"/>
          <w:sz w:val="22"/>
          <w:szCs w:val="22"/>
        </w:rPr>
        <w:t>społecznych,</w:t>
      </w:r>
    </w:p>
    <w:p>
      <w:pPr>
        <w:pStyle w:val="Default"/>
        <w:numPr>
          <w:ilvl w:val="0"/>
          <w:numId w:val="6"/>
        </w:numPr>
        <w:spacing w:lineRule="auto" w:line="276"/>
        <w:ind w:hanging="360" w:start="720"/>
        <w:rPr>
          <w:sz w:val="22"/>
          <w:szCs w:val="22"/>
        </w:rPr>
      </w:pPr>
      <w:r>
        <w:rPr>
          <w:sz w:val="22"/>
          <w:szCs w:val="22"/>
        </w:rPr>
        <w:t>Klauzula RODO SPI8,</w:t>
      </w:r>
    </w:p>
    <w:p>
      <w:pPr>
        <w:pStyle w:val="Default"/>
        <w:numPr>
          <w:ilvl w:val="0"/>
          <w:numId w:val="6"/>
        </w:numPr>
        <w:spacing w:lineRule="auto" w:line="276"/>
        <w:ind w:hanging="360" w:start="720"/>
        <w:rPr>
          <w:sz w:val="22"/>
          <w:szCs w:val="22"/>
        </w:rPr>
      </w:pPr>
      <w:r>
        <w:rPr>
          <w:sz w:val="22"/>
          <w:szCs w:val="22"/>
        </w:rPr>
        <w:t>Klauzula RODO dla wykonawców i podwykonawców.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ptos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8">
          <wp:simplePos x="0" y="0"/>
          <wp:positionH relativeFrom="column">
            <wp:posOffset>-389255</wp:posOffset>
          </wp:positionH>
          <wp:positionV relativeFrom="paragraph">
            <wp:posOffset>-278130</wp:posOffset>
          </wp:positionV>
          <wp:extent cx="6520815" cy="80137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20815" cy="801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BodyText"/>
      <w:spacing w:before="0" w:after="14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8">
          <wp:simplePos x="0" y="0"/>
          <wp:positionH relativeFrom="column">
            <wp:posOffset>-389255</wp:posOffset>
          </wp:positionH>
          <wp:positionV relativeFrom="paragraph">
            <wp:posOffset>-278130</wp:posOffset>
          </wp:positionV>
          <wp:extent cx="6520815" cy="80137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20815" cy="801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BodyText"/>
      <w:spacing w:before="0" w:after="14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360" w:hanging="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720" w:hanging="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080" w:hanging="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440" w:hanging="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1800" w:hanging="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160" w:hanging="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2880" w:hanging="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240" w:hanging="0"/>
      </w:pPr>
      <w:rPr/>
    </w:lvl>
  </w:abstractNum>
  <w:abstractNum w:abstractNumId="2">
    <w:lvl w:ilvl="0">
      <w:start w:val="1"/>
      <w:numFmt w:val="upperRoman"/>
      <w:lvlText w:val="%1."/>
      <w:lvlJc w:val="end"/>
      <w:pPr>
        <w:tabs>
          <w:tab w:val="num" w:pos="0"/>
        </w:tabs>
        <w:ind w:start="360" w:hanging="0"/>
      </w:pPr>
      <w:rPr>
        <w:rFonts w:ascii="Arial" w:hAnsi="Arial"/>
        <w:b/>
        <w:sz w:val="22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980" w:hanging="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42" w:hanging="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140" w:hanging="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300" w:hanging="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1080" w:hanging="0"/>
      </w:pPr>
      <w:rPr>
        <w:rFonts w:ascii="Arial" w:hAnsi="Arial"/>
        <w:b w:val="false"/>
        <w:bCs w:val="false"/>
        <w:sz w:val="22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800" w:hanging="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700" w:hanging="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240" w:hanging="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960" w:hanging="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860" w:hanging="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400" w:hanging="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120" w:hanging="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7020" w:hanging="0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0"/>
        </w:tabs>
        <w:ind w:start="1080" w:hanging="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800" w:hanging="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700" w:hanging="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240" w:hanging="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960" w:hanging="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860" w:hanging="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400" w:hanging="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120" w:hanging="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7020" w:hanging="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720" w:hanging="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340" w:hanging="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500" w:hanging="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660" w:hanging="0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0"/>
        </w:tabs>
        <w:ind w:start="360" w:hanging="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720" w:hanging="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080" w:hanging="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440" w:hanging="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1800" w:hanging="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160" w:hanging="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520" w:hanging="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2880" w:hanging="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240" w:hanging="0"/>
      </w:pPr>
      <w:rPr/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0"/>
        </w:tabs>
        <w:ind w:start="360" w:hanging="0"/>
      </w:pPr>
      <w:rPr>
        <w:rFonts w:ascii="Arial" w:hAnsi="Arial" w:eastAsia="Arial" w:cs="Arial"/>
        <w:b w:val="false"/>
        <w:sz w:val="22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080" w:hanging="0"/>
      </w:pPr>
      <w:rPr>
        <w:rFonts w:ascii="Arial" w:hAnsi="Arial"/>
        <w:b w:val="false"/>
        <w:sz w:val="22"/>
      </w:rPr>
    </w:lvl>
    <w:lvl w:ilvl="2">
      <w:start w:val="1"/>
      <w:numFmt w:val="lowerRoman"/>
      <w:lvlText w:val="%3."/>
      <w:lvlJc w:val="end"/>
      <w:pPr>
        <w:tabs>
          <w:tab w:val="num" w:pos="0"/>
        </w:tabs>
        <w:ind w:start="1980" w:hanging="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140" w:hanging="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300" w:hanging="0"/>
      </w:pPr>
      <w:rPr/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0"/>
        </w:tabs>
        <w:ind w:start="720" w:hanging="0"/>
      </w:pPr>
      <w:rPr>
        <w:rFonts w:ascii="Arial" w:hAnsi="Arial"/>
        <w:b w:val="false"/>
        <w:sz w:val="22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340" w:hanging="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500" w:hanging="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660" w:hanging="0"/>
      </w:pPr>
      <w:rPr/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0"/>
        </w:tabs>
        <w:ind w:start="720" w:hanging="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340" w:hanging="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500" w:hanging="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660" w:hanging="0"/>
      </w:pPr>
      <w:rPr/>
    </w:lvl>
  </w:abstractNum>
  <w:abstractNum w:abstractNumId="10">
    <w:lvl w:ilvl="0">
      <w:start w:val="1"/>
      <w:numFmt w:val="decimal"/>
      <w:lvlText w:val="%1)"/>
      <w:lvlJc w:val="start"/>
      <w:pPr>
        <w:tabs>
          <w:tab w:val="num" w:pos="0"/>
        </w:tabs>
        <w:ind w:start="1080" w:hanging="0"/>
      </w:pPr>
      <w:rPr>
        <w:sz w:val="22"/>
        <w:szCs w:val="22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800" w:hanging="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700" w:hanging="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240" w:hanging="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960" w:hanging="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860" w:hanging="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400" w:hanging="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120" w:hanging="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7020" w:hanging="0"/>
      </w:pPr>
      <w:rPr/>
    </w:lvl>
  </w:abstractNum>
  <w:abstractNum w:abstractNumId="11">
    <w:lvl w:ilvl="0">
      <w:start w:val="1"/>
      <w:numFmt w:val="lowerLetter"/>
      <w:lvlText w:val="%1)"/>
      <w:lvlJc w:val="start"/>
      <w:pPr>
        <w:tabs>
          <w:tab w:val="num" w:pos="0"/>
        </w:tabs>
        <w:ind w:start="1440" w:hanging="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2160" w:hanging="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3060" w:hanging="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600" w:hanging="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4320" w:hanging="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5220" w:hanging="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760" w:hanging="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480" w:hanging="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7380" w:hanging="0"/>
      </w:pPr>
      <w:rPr/>
    </w:lvl>
  </w:abstractNum>
  <w:abstractNum w:abstractNumId="12">
    <w:lvl w:ilvl="0">
      <w:start w:val="1"/>
      <w:numFmt w:val="decimal"/>
      <w:lvlText w:val="%1)"/>
      <w:lvlJc w:val="start"/>
      <w:pPr>
        <w:tabs>
          <w:tab w:val="num" w:pos="0"/>
        </w:tabs>
        <w:ind w:start="1080" w:hanging="0"/>
      </w:pPr>
      <w:rPr>
        <w:sz w:val="22"/>
        <w:szCs w:val="22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800" w:hanging="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700" w:hanging="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240" w:hanging="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960" w:hanging="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860" w:hanging="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400" w:hanging="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120" w:hanging="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7020" w:hanging="0"/>
      </w:pPr>
      <w:rPr/>
    </w:lvl>
  </w:abstractNum>
  <w:abstractNum w:abstractNumId="1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Times New Roman"/>
        <w:kern w:val="2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uiPriority="10" w:semiHidden="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uiPriority="11" w:semiHidden="0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uiPriority="22" w:semiHidden="0" w:unhideWhenUsed="0" w:qFormat="1"/>
    <w:lsdException w:name="Emphasis" w:uiPriority="20" w:semiHidden="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uiPriority="59" w:semiHidden="0" w:unhideWhenUsed="0"/>
    <w:lsdException w:name="Table Theme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  <w:lsdException w:name="Plain Table 1" w:uiPriority="41" w:semiHidden="0" w:unhideWhenUsed="0"/>
    <w:lsdException w:name="Plain Table 2" w:uiPriority="42" w:semiHidden="0" w:unhideWhenUsed="0"/>
    <w:lsdException w:name="Plain Table 3" w:uiPriority="43" w:semiHidden="0" w:unhideWhenUsed="0"/>
    <w:lsdException w:name="Plain Table 4" w:uiPriority="44" w:semiHidden="0" w:unhideWhenUsed="0"/>
    <w:lsdException w:name="Plain Table 5" w:uiPriority="45" w:semiHidden="0" w:unhideWhenUsed="0"/>
    <w:lsdException w:name="Grid Table Light" w:uiPriority="40" w:semiHidden="0" w:unhideWhenUsed="0"/>
    <w:lsdException w:name="Grid Table 1 Light" w:uiPriority="46" w:semiHidden="0" w:unhideWhenUsed="0"/>
    <w:lsdException w:name="Grid Table 2" w:uiPriority="47" w:semiHidden="0" w:unhideWhenUsed="0"/>
    <w:lsdException w:name="Grid Table 3" w:uiPriority="48" w:semiHidden="0" w:unhideWhenUsed="0"/>
    <w:lsdException w:name="Grid Table 4" w:uiPriority="49" w:semiHidden="0" w:unhideWhenUsed="0"/>
    <w:lsdException w:name="Grid Table 5 Dark" w:uiPriority="50" w:semiHidden="0" w:unhideWhenUsed="0"/>
    <w:lsdException w:name="Grid Table 6 Colorful" w:uiPriority="51" w:semiHidden="0" w:unhideWhenUsed="0"/>
    <w:lsdException w:name="Grid Table 7 Colorful" w:uiPriority="52" w:semiHidden="0" w:unhideWhenUsed="0"/>
    <w:lsdException w:name="Grid Table 1 Light Accent 1" w:uiPriority="46" w:semiHidden="0" w:unhideWhenUsed="0"/>
    <w:lsdException w:name="Grid Table 2 Accent 1" w:uiPriority="47" w:semiHidden="0" w:unhideWhenUsed="0"/>
    <w:lsdException w:name="Grid Table 3 Accent 1" w:uiPriority="48" w:semiHidden="0" w:unhideWhenUsed="0"/>
    <w:lsdException w:name="Grid Table 4 Accent 1" w:uiPriority="49" w:semiHidden="0" w:unhideWhenUsed="0"/>
    <w:lsdException w:name="Grid Table 5 Dark Accent 1" w:uiPriority="50" w:semiHidden="0" w:unhideWhenUsed="0"/>
    <w:lsdException w:name="Grid Table 6 Colorful Accent 1" w:uiPriority="51" w:semiHidden="0" w:unhideWhenUsed="0"/>
    <w:lsdException w:name="Grid Table 7 Colorful Accent 1" w:uiPriority="52" w:semiHidden="0" w:unhideWhenUsed="0"/>
    <w:lsdException w:name="Grid Table 1 Light Accent 2" w:uiPriority="46" w:semiHidden="0" w:unhideWhenUsed="0"/>
    <w:lsdException w:name="Grid Table 2 Accent 2" w:uiPriority="47" w:semiHidden="0" w:unhideWhenUsed="0"/>
    <w:lsdException w:name="Grid Table 3 Accent 2" w:uiPriority="48" w:semiHidden="0" w:unhideWhenUsed="0"/>
    <w:lsdException w:name="Grid Table 4 Accent 2" w:uiPriority="49" w:semiHidden="0" w:unhideWhenUsed="0"/>
    <w:lsdException w:name="Grid Table 5 Dark Accent 2" w:uiPriority="50" w:semiHidden="0" w:unhideWhenUsed="0"/>
    <w:lsdException w:name="Grid Table 6 Colorful Accent 2" w:uiPriority="51" w:semiHidden="0" w:unhideWhenUsed="0"/>
    <w:lsdException w:name="Grid Table 7 Colorful Accent 2" w:uiPriority="52" w:semiHidden="0" w:unhideWhenUsed="0"/>
    <w:lsdException w:name="Grid Table 1 Light Accent 3" w:uiPriority="46" w:semiHidden="0" w:unhideWhenUsed="0"/>
    <w:lsdException w:name="Grid Table 2 Accent 3" w:uiPriority="47" w:semiHidden="0" w:unhideWhenUsed="0"/>
    <w:lsdException w:name="Grid Table 3 Accent 3" w:uiPriority="48" w:semiHidden="0" w:unhideWhenUsed="0"/>
    <w:lsdException w:name="Grid Table 4 Accent 3" w:uiPriority="49" w:semiHidden="0" w:unhideWhenUsed="0"/>
    <w:lsdException w:name="Grid Table 5 Dark Accent 3" w:uiPriority="50" w:semiHidden="0" w:unhideWhenUsed="0"/>
    <w:lsdException w:name="Grid Table 6 Colorful Accent 3" w:uiPriority="51" w:semiHidden="0" w:unhideWhenUsed="0"/>
    <w:lsdException w:name="Grid Table 7 Colorful Accent 3" w:uiPriority="52" w:semiHidden="0" w:unhideWhenUsed="0"/>
    <w:lsdException w:name="Grid Table 1 Light Accent 4" w:uiPriority="46" w:semiHidden="0" w:unhideWhenUsed="0"/>
    <w:lsdException w:name="Grid Table 2 Accent 4" w:uiPriority="47" w:semiHidden="0" w:unhideWhenUsed="0"/>
    <w:lsdException w:name="Grid Table 3 Accent 4" w:uiPriority="48" w:semiHidden="0" w:unhideWhenUsed="0"/>
    <w:lsdException w:name="Grid Table 4 Accent 4" w:uiPriority="49" w:semiHidden="0" w:unhideWhenUsed="0"/>
    <w:lsdException w:name="Grid Table 5 Dark Accent 4" w:uiPriority="50" w:semiHidden="0" w:unhideWhenUsed="0"/>
    <w:lsdException w:name="Grid Table 6 Colorful Accent 4" w:uiPriority="51" w:semiHidden="0" w:unhideWhenUsed="0"/>
    <w:lsdException w:name="Grid Table 7 Colorful Accent 4" w:uiPriority="52" w:semiHidden="0" w:unhideWhenUsed="0"/>
    <w:lsdException w:name="Grid Table 1 Light Accent 5" w:uiPriority="46" w:semiHidden="0" w:unhideWhenUsed="0"/>
    <w:lsdException w:name="Grid Table 2 Accent 5" w:uiPriority="47" w:semiHidden="0" w:unhideWhenUsed="0"/>
    <w:lsdException w:name="Grid Table 3 Accent 5" w:uiPriority="48" w:semiHidden="0" w:unhideWhenUsed="0"/>
    <w:lsdException w:name="Grid Table 4 Accent 5" w:uiPriority="49" w:semiHidden="0" w:unhideWhenUsed="0"/>
    <w:lsdException w:name="Grid Table 5 Dark Accent 5" w:uiPriority="50" w:semiHidden="0" w:unhideWhenUsed="0"/>
    <w:lsdException w:name="Grid Table 6 Colorful Accent 5" w:uiPriority="51" w:semiHidden="0" w:unhideWhenUsed="0"/>
    <w:lsdException w:name="Grid Table 7 Colorful Accent 5" w:uiPriority="52" w:semiHidden="0" w:unhideWhenUsed="0"/>
    <w:lsdException w:name="Grid Table 1 Light Accent 6" w:uiPriority="46" w:semiHidden="0" w:unhideWhenUsed="0"/>
    <w:lsdException w:name="Grid Table 2 Accent 6" w:uiPriority="47" w:semiHidden="0" w:unhideWhenUsed="0"/>
    <w:lsdException w:name="Grid Table 3 Accent 6" w:uiPriority="48" w:semiHidden="0" w:unhideWhenUsed="0"/>
    <w:lsdException w:name="Grid Table 4 Accent 6" w:uiPriority="49" w:semiHidden="0" w:unhideWhenUsed="0"/>
    <w:lsdException w:name="Grid Table 5 Dark Accent 6" w:uiPriority="50" w:semiHidden="0" w:unhideWhenUsed="0"/>
    <w:lsdException w:name="Grid Table 6 Colorful Accent 6" w:uiPriority="51" w:semiHidden="0" w:unhideWhenUsed="0"/>
    <w:lsdException w:name="Grid Table 7 Colorful Accent 6" w:uiPriority="52" w:semiHidden="0" w:unhideWhenUsed="0"/>
    <w:lsdException w:name="List Table 1 Light" w:uiPriority="46" w:semiHidden="0" w:unhideWhenUsed="0"/>
    <w:lsdException w:name="List Table 2" w:uiPriority="47" w:semiHidden="0" w:unhideWhenUsed="0"/>
    <w:lsdException w:name="List Table 3" w:uiPriority="48" w:semiHidden="0" w:unhideWhenUsed="0"/>
    <w:lsdException w:name="List Table 4" w:uiPriority="49" w:semiHidden="0" w:unhideWhenUsed="0"/>
    <w:lsdException w:name="List Table 5 Dark" w:uiPriority="50" w:semiHidden="0" w:unhideWhenUsed="0"/>
    <w:lsdException w:name="List Table 6 Colorful" w:uiPriority="51" w:semiHidden="0" w:unhideWhenUsed="0"/>
    <w:lsdException w:name="List Table 7 Colorful" w:uiPriority="52" w:semiHidden="0" w:unhideWhenUsed="0"/>
    <w:lsdException w:name="List Table 1 Light Accent 1" w:uiPriority="46" w:semiHidden="0" w:unhideWhenUsed="0"/>
    <w:lsdException w:name="List Table 2 Accent 1" w:uiPriority="47" w:semiHidden="0" w:unhideWhenUsed="0"/>
    <w:lsdException w:name="List Table 3 Accent 1" w:uiPriority="48" w:semiHidden="0" w:unhideWhenUsed="0"/>
    <w:lsdException w:name="List Table 4 Accent 1" w:uiPriority="49" w:semiHidden="0" w:unhideWhenUsed="0"/>
    <w:lsdException w:name="List Table 5 Dark Accent 1" w:uiPriority="50" w:semiHidden="0" w:unhideWhenUsed="0"/>
    <w:lsdException w:name="List Table 6 Colorful Accent 1" w:uiPriority="51" w:semiHidden="0" w:unhideWhenUsed="0"/>
    <w:lsdException w:name="List Table 7 Colorful Accent 1" w:uiPriority="52" w:semiHidden="0" w:unhideWhenUsed="0"/>
    <w:lsdException w:name="List Table 1 Light Accent 2" w:uiPriority="46" w:semiHidden="0" w:unhideWhenUsed="0"/>
    <w:lsdException w:name="List Table 2 Accent 2" w:uiPriority="47" w:semiHidden="0" w:unhideWhenUsed="0"/>
    <w:lsdException w:name="List Table 3 Accent 2" w:uiPriority="48" w:semiHidden="0" w:unhideWhenUsed="0"/>
    <w:lsdException w:name="List Table 4 Accent 2" w:uiPriority="49" w:semiHidden="0" w:unhideWhenUsed="0"/>
    <w:lsdException w:name="List Table 5 Dark Accent 2" w:uiPriority="50" w:semiHidden="0" w:unhideWhenUsed="0"/>
    <w:lsdException w:name="List Table 6 Colorful Accent 2" w:uiPriority="51" w:semiHidden="0" w:unhideWhenUsed="0"/>
    <w:lsdException w:name="List Table 7 Colorful Accent 2" w:uiPriority="52" w:semiHidden="0" w:unhideWhenUsed="0"/>
    <w:lsdException w:name="List Table 1 Light Accent 3" w:uiPriority="46" w:semiHidden="0" w:unhideWhenUsed="0"/>
    <w:lsdException w:name="List Table 2 Accent 3" w:uiPriority="47" w:semiHidden="0" w:unhideWhenUsed="0"/>
    <w:lsdException w:name="List Table 3 Accent 3" w:uiPriority="48" w:semiHidden="0" w:unhideWhenUsed="0"/>
    <w:lsdException w:name="List Table 4 Accent 3" w:uiPriority="49" w:semiHidden="0" w:unhideWhenUsed="0"/>
    <w:lsdException w:name="List Table 5 Dark Accent 3" w:uiPriority="50" w:semiHidden="0" w:unhideWhenUsed="0"/>
    <w:lsdException w:name="List Table 6 Colorful Accent 3" w:uiPriority="51" w:semiHidden="0" w:unhideWhenUsed="0"/>
    <w:lsdException w:name="List Table 7 Colorful Accent 3" w:uiPriority="52" w:semiHidden="0" w:unhideWhenUsed="0"/>
    <w:lsdException w:name="List Table 1 Light Accent 4" w:uiPriority="46" w:semiHidden="0" w:unhideWhenUsed="0"/>
    <w:lsdException w:name="List Table 2 Accent 4" w:uiPriority="47" w:semiHidden="0" w:unhideWhenUsed="0"/>
    <w:lsdException w:name="List Table 3 Accent 4" w:uiPriority="48" w:semiHidden="0" w:unhideWhenUsed="0"/>
    <w:lsdException w:name="List Table 4 Accent 4" w:uiPriority="49" w:semiHidden="0" w:unhideWhenUsed="0"/>
    <w:lsdException w:name="List Table 5 Dark Accent 4" w:uiPriority="50" w:semiHidden="0" w:unhideWhenUsed="0"/>
    <w:lsdException w:name="List Table 6 Colorful Accent 4" w:uiPriority="51" w:semiHidden="0" w:unhideWhenUsed="0"/>
    <w:lsdException w:name="List Table 7 Colorful Accent 4" w:uiPriority="52" w:semiHidden="0" w:unhideWhenUsed="0"/>
    <w:lsdException w:name="List Table 1 Light Accent 5" w:uiPriority="46" w:semiHidden="0" w:unhideWhenUsed="0"/>
    <w:lsdException w:name="List Table 2 Accent 5" w:uiPriority="47" w:semiHidden="0" w:unhideWhenUsed="0"/>
    <w:lsdException w:name="List Table 3 Accent 5" w:uiPriority="48" w:semiHidden="0" w:unhideWhenUsed="0"/>
    <w:lsdException w:name="List Table 4 Accent 5" w:uiPriority="49" w:semiHidden="0" w:unhideWhenUsed="0"/>
    <w:lsdException w:name="List Table 5 Dark Accent 5" w:uiPriority="50" w:semiHidden="0" w:unhideWhenUsed="0"/>
    <w:lsdException w:name="List Table 6 Colorful Accent 5" w:uiPriority="51" w:semiHidden="0" w:unhideWhenUsed="0"/>
    <w:lsdException w:name="List Table 7 Colorful Accent 5" w:uiPriority="52" w:semiHidden="0" w:unhideWhenUsed="0"/>
    <w:lsdException w:name="List Table 1 Light Accent 6" w:uiPriority="46" w:semiHidden="0" w:unhideWhenUsed="0"/>
    <w:lsdException w:name="List Table 2 Accent 6" w:uiPriority="47" w:semiHidden="0" w:unhideWhenUsed="0"/>
    <w:lsdException w:name="List Table 3 Accent 6" w:uiPriority="48" w:semiHidden="0" w:unhideWhenUsed="0"/>
    <w:lsdException w:name="List Table 4 Accent 6" w:uiPriority="49" w:semiHidden="0" w:unhideWhenUsed="0"/>
    <w:lsdException w:name="List Table 5 Dark Accent 6" w:uiPriority="50" w:semiHidden="0" w:unhideWhenUsed="0"/>
    <w:lsdException w:name="List Table 6 Colorful Accent 6" w:uiPriority="51" w:semiHidden="0" w:unhideWhenUsed="0"/>
    <w:lsdException w:name="List Table 7 Colorful Accent 6" w:uiPriority="52" w:semiHidden="0" w:unhideWhenUsed="0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start"/>
    </w:pPr>
    <w:rPr>
      <w:rFonts w:ascii="Aptos" w:hAnsi="Aptos" w:eastAsia="Aptos" w:cs="Times New Roman"/>
      <w:color w:val="auto"/>
      <w:kern w:val="2"/>
      <w:sz w:val="24"/>
      <w:szCs w:val="24"/>
      <w:lang w:val="pl-PL" w:eastAsia="en-US" w:bidi="ar-SA"/>
    </w:rPr>
  </w:style>
  <w:style w:type="character" w:styleId="DefaultParagraphFont" w:default="1">
    <w:name w:val="Default Paragraph Font"/>
    <w:qFormat/>
    <w:rPr/>
  </w:style>
  <w:style w:type="character" w:styleId="Hyperlink">
    <w:name w:val="Hyperlink"/>
    <w:rPr>
      <w:color w:val="467886"/>
      <w:u w:val="single" w:color="FFFFFF"/>
    </w:rPr>
  </w:style>
  <w:style w:type="character" w:styleId="UnresolvedMention" w:customStyle="1">
    <w:name w:val="Unresolved Mention"/>
    <w:basedOn w:val="DefaultParagraphFont"/>
    <w:qFormat/>
    <w:rPr>
      <w:color w:val="605E5C"/>
      <w:shd w:fill="E1DFDD" w:val="clear"/>
    </w:rPr>
  </w:style>
  <w:style w:type="character" w:styleId="NagwekZnak" w:customStyle="1">
    <w:name w:val="Nagłówek Znak"/>
    <w:basedOn w:val="DefaultParagraphFont"/>
    <w:qFormat/>
    <w:rPr/>
  </w:style>
  <w:style w:type="character" w:styleId="StopkaZnak" w:customStyle="1">
    <w:name w:val="Stopka Znak"/>
    <w:basedOn w:val="DefaultParagraphFont"/>
    <w:qFormat/>
    <w:rPr/>
  </w:style>
  <w:style w:type="character" w:styleId="Znakinumeracjiuser" w:customStyle="1">
    <w:name w:val="Znaki numeracji (user)"/>
    <w:qFormat/>
    <w:rPr/>
  </w:style>
  <w:style w:type="character" w:styleId="Znakiwypunktowaniauser" w:customStyle="1">
    <w:name w:val="Znaki wypunktowania (user)"/>
    <w:qFormat/>
    <w:rPr>
      <w:rFonts w:ascii="OpenSymbol" w:hAnsi="OpenSymbol" w:eastAsia="OpenSymbol" w:cs="OpenSymbol"/>
    </w:rPr>
  </w:style>
  <w:style w:type="character" w:styleId="WW8Num3z0" w:customStyle="1">
    <w:name w:val="WW8Num3z0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28"/>
      <w:szCs w:val="28"/>
    </w:rPr>
  </w:style>
  <w:style w:type="paragraph" w:styleId="BodyText">
    <w:name w:val="Body Text"/>
    <w:basedOn w:val="Normal"/>
    <w:qFormat/>
    <w:pPr>
      <w:spacing w:before="0" w:after="140"/>
    </w:pPr>
    <w:rPr/>
  </w:style>
  <w:style w:type="paragraph" w:styleId="List">
    <w:name w:val="List"/>
    <w:basedOn w:val="BodyText"/>
    <w:qFormat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ks">
    <w:name w:val="Indeks"/>
    <w:basedOn w:val="Normal"/>
    <w:qFormat/>
    <w:pPr>
      <w:suppressLineNumbers/>
    </w:pPr>
    <w:rPr>
      <w:rFonts w:ascii="Times New Roman" w:hAnsi="Times New Roman"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 w:customStyle="1">
    <w:name w:val="header"/>
    <w:basedOn w:val="Normal"/>
    <w:next w:val="BodyText"/>
    <w:qFormat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lineRule="auto" w:line="240" w:before="0" w:after="0"/>
      <w:jc w:val="start"/>
    </w:pPr>
    <w:rPr>
      <w:rFonts w:ascii="Aptos" w:hAnsi="Aptos" w:eastAsia="Linux Libertine G" w:cs="Linux Libertine G"/>
      <w:color w:val="auto"/>
      <w:kern w:val="2"/>
      <w:sz w:val="22"/>
      <w:szCs w:val="22"/>
      <w:lang w:val="pl-PL" w:eastAsia="zh-CN" w:bidi="hi-IN"/>
    </w:rPr>
  </w:style>
  <w:style w:type="paragraph" w:styleId="Footer">
    <w:name w:val="footer"/>
    <w:basedOn w:val="Normal"/>
    <w:qFormat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qFormat/>
    <w:pPr>
      <w:spacing w:before="0" w:after="160"/>
      <w:ind w:start="720"/>
      <w:contextualSpacing/>
    </w:pPr>
    <w:rPr/>
  </w:style>
  <w:style w:type="paragraph" w:styleId="Default" w:customStyle="1">
    <w:name w:val="Default"/>
    <w:qFormat/>
    <w:pPr>
      <w:widowControl/>
      <w:suppressAutoHyphens w:val="true"/>
      <w:bidi w:val="0"/>
      <w:spacing w:lineRule="auto" w:line="240" w:before="0" w:after="0"/>
      <w:jc w:val="start"/>
    </w:pPr>
    <w:rPr>
      <w:rFonts w:ascii="Arial" w:hAnsi="Arial" w:eastAsia="Linux Libertine G" w:cs="Arial"/>
      <w:color w:val="000000"/>
      <w:kern w:val="2"/>
      <w:sz w:val="24"/>
      <w:szCs w:val="24"/>
      <w:lang w:val="pl-PL" w:eastAsia="pl-PL" w:bidi="ar-SA"/>
    </w:rPr>
  </w:style>
  <w:style w:type="paragraph" w:styleId="BodyTextIndent">
    <w:name w:val="Body Text Indent"/>
    <w:basedOn w:val="Normal"/>
    <w:qFormat/>
    <w:pPr>
      <w:widowControl w:val="false"/>
      <w:spacing w:lineRule="auto" w:line="240" w:before="0" w:after="120"/>
      <w:ind w:start="283"/>
    </w:pPr>
    <w:rPr>
      <w:rFonts w:ascii="Times New Roman" w:hAnsi="Times New Roman" w:eastAsia="Times New Roman"/>
      <w:sz w:val="20"/>
      <w:szCs w:val="20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eastAsia="SimSun" w:cs="Arial"/>
      <w:b/>
      <w:bCs/>
      <w:sz w:val="32"/>
      <w:szCs w:val="32"/>
    </w:rPr>
  </w:style>
  <w:style w:type="table" w:default="1" w:styleId="TableNormal">
    <w:name w:val="Zwykła tabela"/>
    <w:uiPriority w:val="99"/>
    <w:semiHidden/>
    <w:unhideWhenUsed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Aptos" pitchFamily="0" charset="1"/>
        <a:ea typeface="Aptos" pitchFamily="0" charset="1"/>
        <a:cs typeface="Times New Roman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252</TotalTime>
  <Application>LibreOffice/25.8.4.2$Windows_X86_64 LibreOffice_project/290daaa01b999472f0c7a3890eb6a550fd74c6df</Application>
  <AppVersion>15.0000</AppVersion>
  <Pages>7</Pages>
  <Words>2321</Words>
  <Characters>15308</Characters>
  <CharactersWithSpaces>17459</CharactersWithSpaces>
  <Paragraphs>131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2026-01-27T17:46:00Z</dcterms:created>
  <dc:creator>Piotr Bakowicz</dc:creator>
  <dc:description/>
  <dc:language>pl-PL</dc:language>
  <cp:lastModifiedBy/>
  <dcterms:modified xsi:type="dcterms:W3CDTF">2026-04-03T11:53:22Z</dcterms:modified>
  <cp:revision>67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